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ind w:left="298" w:leftChars="142"/>
        <w:jc w:val="center"/>
        <w:rPr>
          <w:rFonts w:ascii="楷体_GB2312" w:eastAsia="楷体_GB2312"/>
          <w:b/>
          <w:sz w:val="28"/>
          <w:szCs w:val="28"/>
        </w:rPr>
      </w:pPr>
      <w:r>
        <w:rPr>
          <w:rFonts w:hint="eastAsia" w:ascii="楷体_GB2312" w:eastAsia="楷体_GB2312"/>
          <w:b/>
          <w:sz w:val="28"/>
          <w:szCs w:val="28"/>
          <w:lang w:eastAsia="zh-CN"/>
        </w:rPr>
        <w:t>山东阳谷玻璃工艺制品厂年产100万只玻璃口杯项目</w:t>
      </w:r>
      <w:r>
        <w:rPr>
          <w:rFonts w:hint="eastAsia" w:ascii="楷体_GB2312" w:eastAsia="楷体_GB2312"/>
          <w:b/>
          <w:sz w:val="28"/>
          <w:szCs w:val="28"/>
        </w:rPr>
        <w:t xml:space="preserve"> </w:t>
      </w:r>
    </w:p>
    <w:p>
      <w:pPr>
        <w:tabs>
          <w:tab w:val="left" w:pos="360"/>
        </w:tabs>
        <w:ind w:left="298" w:leftChars="142"/>
        <w:jc w:val="center"/>
        <w:rPr>
          <w:rFonts w:ascii="楷体_GB2312" w:eastAsia="楷体_GB2312"/>
          <w:b/>
          <w:sz w:val="28"/>
          <w:szCs w:val="28"/>
        </w:rPr>
      </w:pPr>
      <w:r>
        <w:rPr>
          <w:rFonts w:hint="eastAsia" w:ascii="楷体_GB2312" w:eastAsia="楷体_GB2312"/>
          <w:b/>
          <w:sz w:val="28"/>
          <w:szCs w:val="28"/>
        </w:rPr>
        <w:t>竣工环境保护验收现场检查及验收工作组验收意见</w:t>
      </w:r>
    </w:p>
    <w:p>
      <w:pPr>
        <w:tabs>
          <w:tab w:val="left" w:pos="360"/>
        </w:tabs>
        <w:ind w:left="298" w:leftChars="142"/>
        <w:rPr>
          <w:rFonts w:ascii="楷体_GB2312" w:eastAsia="楷体_GB2312"/>
          <w:b/>
          <w:sz w:val="30"/>
          <w:szCs w:val="30"/>
        </w:rPr>
      </w:pPr>
    </w:p>
    <w:p>
      <w:pPr>
        <w:tabs>
          <w:tab w:val="left" w:pos="360"/>
        </w:tabs>
        <w:spacing w:line="360" w:lineRule="auto"/>
        <w:ind w:left="298" w:leftChars="142"/>
        <w:jc w:val="left"/>
        <w:rPr>
          <w:rFonts w:ascii="楷体" w:hAnsi="楷体" w:eastAsia="楷体" w:cs="楷体"/>
          <w:sz w:val="28"/>
          <w:szCs w:val="28"/>
        </w:rPr>
      </w:pPr>
      <w:r>
        <w:rPr>
          <w:rFonts w:ascii="楷体_GB2312" w:hAnsi="宋体" w:eastAsia="楷体_GB2312"/>
          <w:sz w:val="28"/>
          <w:szCs w:val="28"/>
        </w:rPr>
        <w:t xml:space="preserve">  </w:t>
      </w:r>
      <w:r>
        <w:rPr>
          <w:rFonts w:hint="eastAsia" w:ascii="楷体" w:hAnsi="楷体" w:eastAsia="楷体" w:cs="楷体"/>
          <w:sz w:val="28"/>
          <w:szCs w:val="28"/>
        </w:rPr>
        <w:t xml:space="preserve"> </w:t>
      </w:r>
      <w:r>
        <w:rPr>
          <w:rFonts w:hint="eastAsia" w:ascii="楷体" w:hAnsi="楷体" w:eastAsia="楷体" w:cs="楷体"/>
          <w:color w:val="auto"/>
          <w:sz w:val="28"/>
          <w:szCs w:val="28"/>
        </w:rPr>
        <w:t xml:space="preserve">  2018年7月</w:t>
      </w:r>
      <w:r>
        <w:rPr>
          <w:rFonts w:hint="eastAsia" w:ascii="楷体" w:hAnsi="楷体" w:eastAsia="楷体" w:cs="楷体"/>
          <w:color w:val="auto"/>
          <w:sz w:val="28"/>
          <w:szCs w:val="28"/>
          <w:lang w:val="en-US" w:eastAsia="zh-CN"/>
        </w:rPr>
        <w:t>21</w:t>
      </w:r>
      <w:r>
        <w:rPr>
          <w:rFonts w:hint="eastAsia" w:ascii="楷体" w:hAnsi="楷体" w:eastAsia="楷体" w:cs="楷体"/>
          <w:color w:val="auto"/>
          <w:sz w:val="28"/>
          <w:szCs w:val="28"/>
        </w:rPr>
        <w:t>日，</w:t>
      </w:r>
      <w:r>
        <w:rPr>
          <w:rFonts w:hint="eastAsia" w:ascii="楷体" w:hAnsi="楷体" w:eastAsia="楷体" w:cs="楷体"/>
          <w:sz w:val="28"/>
          <w:szCs w:val="28"/>
          <w:lang w:eastAsia="zh-CN"/>
        </w:rPr>
        <w:t>山东阳谷玻璃工艺制品厂</w:t>
      </w:r>
      <w:r>
        <w:rPr>
          <w:rFonts w:hint="eastAsia" w:ascii="楷体" w:hAnsi="楷体" w:eastAsia="楷体" w:cs="楷体"/>
          <w:sz w:val="28"/>
          <w:szCs w:val="28"/>
        </w:rPr>
        <w:t>组织召开公司</w:t>
      </w:r>
      <w:r>
        <w:rPr>
          <w:rFonts w:hint="eastAsia" w:ascii="楷体" w:hAnsi="楷体" w:eastAsia="楷体" w:cs="楷体"/>
          <w:sz w:val="28"/>
          <w:szCs w:val="28"/>
          <w:lang w:eastAsia="zh-CN"/>
        </w:rPr>
        <w:t>年产100万只玻璃口杯项目</w:t>
      </w:r>
      <w:r>
        <w:rPr>
          <w:rFonts w:hint="eastAsia" w:ascii="楷体" w:hAnsi="楷体" w:eastAsia="楷体" w:cs="楷体"/>
          <w:sz w:val="28"/>
          <w:szCs w:val="28"/>
        </w:rPr>
        <w:t>竣工环境保护验收现场检查及验收会。验收工作组由工程建设单位（</w:t>
      </w:r>
      <w:r>
        <w:rPr>
          <w:rFonts w:hint="eastAsia" w:ascii="楷体" w:hAnsi="楷体" w:eastAsia="楷体" w:cs="楷体"/>
          <w:sz w:val="28"/>
          <w:szCs w:val="28"/>
          <w:lang w:eastAsia="zh-CN"/>
        </w:rPr>
        <w:t>山东阳谷玻璃工艺制品厂</w:t>
      </w:r>
      <w:r>
        <w:rPr>
          <w:rFonts w:hint="eastAsia" w:ascii="楷体" w:hAnsi="楷体" w:eastAsia="楷体" w:cs="楷体"/>
          <w:sz w:val="28"/>
          <w:szCs w:val="28"/>
        </w:rPr>
        <w:t>）、监测单位（</w:t>
      </w:r>
      <w:r>
        <w:rPr>
          <w:rFonts w:hint="eastAsia" w:ascii="楷体" w:hAnsi="楷体" w:eastAsia="楷体" w:cs="楷体"/>
          <w:sz w:val="28"/>
          <w:szCs w:val="28"/>
          <w:lang w:eastAsia="zh-CN"/>
        </w:rPr>
        <w:t>阳谷县环境保护监测站</w:t>
      </w:r>
      <w:r>
        <w:rPr>
          <w:rFonts w:hint="eastAsia" w:ascii="楷体" w:hAnsi="楷体" w:eastAsia="楷体" w:cs="楷体"/>
          <w:sz w:val="28"/>
          <w:szCs w:val="28"/>
        </w:rPr>
        <w:t>）并特邀3名技术专家（名单附后）组成。</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一、工程建设基本情况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（一）建设地点、规模、主要建设内容</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项目建设地点位于</w:t>
      </w:r>
      <w:r>
        <w:rPr>
          <w:rFonts w:hint="eastAsia" w:ascii="楷体" w:hAnsi="楷体" w:eastAsia="楷体" w:cs="楷体"/>
          <w:sz w:val="28"/>
          <w:szCs w:val="28"/>
          <w:lang w:eastAsia="zh-CN"/>
        </w:rPr>
        <w:t>聊城市阳谷县高庙王乡政府东140米路北</w:t>
      </w:r>
      <w:r>
        <w:rPr>
          <w:rFonts w:hint="eastAsia" w:ascii="楷体" w:hAnsi="楷体" w:eastAsia="楷体" w:cs="楷体"/>
          <w:sz w:val="28"/>
          <w:szCs w:val="28"/>
        </w:rPr>
        <w:t>。主要为</w:t>
      </w:r>
      <w:r>
        <w:rPr>
          <w:rFonts w:hint="eastAsia" w:ascii="楷体" w:hAnsi="楷体" w:eastAsia="楷体" w:cs="楷体"/>
          <w:sz w:val="28"/>
          <w:szCs w:val="28"/>
          <w:lang w:eastAsia="zh-CN"/>
        </w:rPr>
        <w:t>年产100万只玻璃口杯项目</w:t>
      </w:r>
      <w:r>
        <w:rPr>
          <w:rFonts w:hint="eastAsia" w:ascii="楷体" w:hAnsi="楷体" w:eastAsia="楷体" w:cs="楷体"/>
          <w:sz w:val="28"/>
          <w:szCs w:val="28"/>
        </w:rPr>
        <w:t>，总投资</w:t>
      </w:r>
      <w:r>
        <w:rPr>
          <w:rFonts w:hint="eastAsia" w:ascii="楷体" w:hAnsi="楷体" w:eastAsia="楷体" w:cs="楷体"/>
          <w:sz w:val="28"/>
          <w:szCs w:val="28"/>
          <w:lang w:val="en-US" w:eastAsia="zh-CN"/>
        </w:rPr>
        <w:t>450</w:t>
      </w:r>
      <w:r>
        <w:rPr>
          <w:rFonts w:hint="eastAsia" w:ascii="楷体" w:hAnsi="楷体" w:eastAsia="楷体" w:cs="楷体"/>
          <w:sz w:val="28"/>
          <w:szCs w:val="28"/>
        </w:rPr>
        <w:t>万元，占地面积</w:t>
      </w:r>
      <w:r>
        <w:rPr>
          <w:rFonts w:hint="eastAsia" w:ascii="楷体" w:hAnsi="楷体" w:eastAsia="楷体" w:cs="楷体"/>
          <w:sz w:val="28"/>
          <w:szCs w:val="28"/>
          <w:lang w:val="en-US" w:eastAsia="zh-CN"/>
        </w:rPr>
        <w:t>18564</w:t>
      </w:r>
      <w:r>
        <w:rPr>
          <w:rFonts w:hint="eastAsia" w:ascii="楷体" w:hAnsi="楷体" w:eastAsia="楷体" w:cs="楷体"/>
          <w:sz w:val="28"/>
          <w:szCs w:val="28"/>
        </w:rPr>
        <w:t>m</w:t>
      </w:r>
      <w:r>
        <w:rPr>
          <w:rFonts w:hint="eastAsia" w:ascii="楷体" w:hAnsi="楷体" w:eastAsia="楷体" w:cs="楷体"/>
          <w:sz w:val="28"/>
          <w:szCs w:val="28"/>
          <w:vertAlign w:val="superscript"/>
        </w:rPr>
        <w:t>2</w:t>
      </w:r>
      <w:r>
        <w:rPr>
          <w:rFonts w:hint="eastAsia" w:ascii="楷体" w:hAnsi="楷体" w:eastAsia="楷体" w:cs="楷体"/>
          <w:sz w:val="28"/>
          <w:szCs w:val="28"/>
        </w:rPr>
        <w:t>，购置</w:t>
      </w:r>
      <w:r>
        <w:rPr>
          <w:rFonts w:hint="eastAsia" w:ascii="楷体" w:hAnsi="楷体" w:eastAsia="楷体" w:cs="楷体"/>
          <w:sz w:val="28"/>
          <w:szCs w:val="28"/>
          <w:lang w:eastAsia="zh-CN"/>
        </w:rPr>
        <w:t>截管机、成型机、制杯机、清洗机、退火炉</w:t>
      </w:r>
      <w:r>
        <w:rPr>
          <w:rFonts w:hint="eastAsia" w:ascii="楷体" w:hAnsi="楷体" w:eastAsia="楷体" w:cs="楷体"/>
          <w:sz w:val="28"/>
          <w:szCs w:val="28"/>
        </w:rPr>
        <w:t>等加工设备。</w:t>
      </w:r>
    </w:p>
    <w:p>
      <w:pPr>
        <w:tabs>
          <w:tab w:val="left" w:pos="360"/>
        </w:tabs>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（二）环保审批情况</w:t>
      </w:r>
    </w:p>
    <w:p>
      <w:pPr>
        <w:tabs>
          <w:tab w:val="left" w:pos="360"/>
        </w:tabs>
        <w:spacing w:line="360" w:lineRule="auto"/>
        <w:ind w:left="298" w:leftChars="142" w:firstLine="560" w:firstLineChars="200"/>
        <w:jc w:val="left"/>
        <w:rPr>
          <w:rFonts w:hint="eastAsia" w:ascii="楷体" w:hAnsi="楷体" w:eastAsia="楷体" w:cs="楷体"/>
          <w:sz w:val="28"/>
          <w:szCs w:val="28"/>
        </w:rPr>
      </w:pPr>
      <w:r>
        <w:rPr>
          <w:rFonts w:hint="eastAsia" w:ascii="楷体" w:hAnsi="楷体" w:eastAsia="楷体" w:cs="楷体"/>
          <w:sz w:val="28"/>
          <w:szCs w:val="28"/>
        </w:rPr>
        <w:t>2017年09月08日</w:t>
      </w:r>
      <w:r>
        <w:rPr>
          <w:rFonts w:hint="eastAsia" w:ascii="楷体" w:hAnsi="楷体" w:eastAsia="楷体" w:cs="楷体"/>
          <w:sz w:val="28"/>
          <w:szCs w:val="28"/>
          <w:lang w:eastAsia="zh-CN"/>
        </w:rPr>
        <w:t>，</w:t>
      </w:r>
      <w:r>
        <w:rPr>
          <w:rFonts w:hint="eastAsia" w:ascii="楷体" w:hAnsi="楷体" w:eastAsia="楷体" w:cs="楷体"/>
          <w:sz w:val="28"/>
          <w:szCs w:val="28"/>
        </w:rPr>
        <w:t>公司委托聊城大学编制了《山东阳谷玻璃工艺制品厂年产 100 万只玻璃口杯项目环境影响报告表》，2017年12月01日，阳谷县环境保护局对该项目进行了批复（阳环报告表【2017】285 号）。目前，项目主体工程及配套的各项环保设施均已建成并开始试运行，具备了环境保护验收监测的条件。阳谷县环境保护监测站于 2018年07月11日勘查现场并编制了验收监测方案，于 2018年07月12日和13日进行了现场验收监测。在此基础上，编制了验收监测报告。</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（三）投资情况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项目实际总投资</w:t>
      </w:r>
      <w:r>
        <w:rPr>
          <w:rFonts w:hint="eastAsia" w:ascii="楷体" w:hAnsi="楷体" w:eastAsia="楷体" w:cs="楷体"/>
          <w:sz w:val="28"/>
          <w:szCs w:val="28"/>
          <w:lang w:val="en-US" w:eastAsia="zh-CN"/>
        </w:rPr>
        <w:t>450</w:t>
      </w:r>
      <w:r>
        <w:rPr>
          <w:rFonts w:hint="eastAsia" w:ascii="楷体" w:hAnsi="楷体" w:eastAsia="楷体" w:cs="楷体"/>
          <w:sz w:val="28"/>
          <w:szCs w:val="28"/>
        </w:rPr>
        <w:t>万元，其中环保投资</w:t>
      </w:r>
      <w:r>
        <w:rPr>
          <w:rFonts w:hint="eastAsia" w:ascii="楷体" w:hAnsi="楷体" w:eastAsia="楷体" w:cs="楷体"/>
          <w:sz w:val="28"/>
          <w:szCs w:val="28"/>
          <w:lang w:val="en-US" w:eastAsia="zh-CN"/>
        </w:rPr>
        <w:t>12</w:t>
      </w:r>
      <w:r>
        <w:rPr>
          <w:rFonts w:hint="eastAsia" w:ascii="楷体" w:hAnsi="楷体" w:eastAsia="楷体" w:cs="楷体"/>
          <w:sz w:val="28"/>
          <w:szCs w:val="28"/>
        </w:rPr>
        <w:t>万元。占总投资</w:t>
      </w:r>
      <w:r>
        <w:rPr>
          <w:rFonts w:hint="eastAsia" w:ascii="楷体" w:hAnsi="楷体" w:eastAsia="楷体" w:cs="楷体"/>
          <w:sz w:val="28"/>
          <w:szCs w:val="28"/>
          <w:lang w:val="en-US" w:eastAsia="zh-CN"/>
        </w:rPr>
        <w:t>2.67</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（四）验收范围</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本次验收的范围为</w:t>
      </w:r>
      <w:r>
        <w:rPr>
          <w:rFonts w:hint="eastAsia" w:ascii="楷体" w:hAnsi="楷体" w:eastAsia="楷体" w:cs="楷体"/>
          <w:sz w:val="28"/>
          <w:szCs w:val="28"/>
          <w:lang w:eastAsia="zh-CN"/>
        </w:rPr>
        <w:t>年产100万只玻璃口杯项目</w:t>
      </w:r>
      <w:r>
        <w:rPr>
          <w:rFonts w:hint="eastAsia" w:ascii="楷体" w:hAnsi="楷体" w:eastAsia="楷体" w:cs="楷体"/>
          <w:sz w:val="28"/>
          <w:szCs w:val="28"/>
        </w:rPr>
        <w:t>及其配套环保设施。</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二、工程变更情况</w:t>
      </w:r>
    </w:p>
    <w:p>
      <w:pPr>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经现场验收核查，本项目较环评及环评批复基本没有变化，未发生重大变动。</w:t>
      </w:r>
    </w:p>
    <w:p>
      <w:pPr>
        <w:pStyle w:val="11"/>
        <w:numPr>
          <w:ilvl w:val="0"/>
          <w:numId w:val="1"/>
        </w:numPr>
        <w:spacing w:line="360" w:lineRule="auto"/>
        <w:ind w:firstLineChars="0"/>
        <w:jc w:val="left"/>
        <w:rPr>
          <w:rFonts w:ascii="楷体" w:hAnsi="楷体" w:eastAsia="楷体" w:cs="楷体"/>
          <w:sz w:val="28"/>
          <w:szCs w:val="28"/>
        </w:rPr>
      </w:pPr>
      <w:r>
        <w:rPr>
          <w:rFonts w:hint="eastAsia" w:ascii="楷体" w:hAnsi="楷体" w:eastAsia="楷体" w:cs="楷体"/>
          <w:sz w:val="28"/>
          <w:szCs w:val="28"/>
        </w:rPr>
        <w:t>环境保护设施落实情况</w:t>
      </w:r>
    </w:p>
    <w:p>
      <w:pPr>
        <w:pStyle w:val="11"/>
        <w:spacing w:beforeLines="50" w:line="360" w:lineRule="auto"/>
        <w:ind w:left="141" w:leftChars="67" w:firstLine="280" w:firstLineChars="100"/>
        <w:rPr>
          <w:rFonts w:ascii="楷体" w:hAnsi="楷体" w:eastAsia="楷体" w:cs="楷体"/>
          <w:sz w:val="28"/>
          <w:szCs w:val="28"/>
        </w:rPr>
      </w:pPr>
      <w:r>
        <w:rPr>
          <w:rFonts w:hint="eastAsia" w:ascii="楷体" w:hAnsi="楷体" w:eastAsia="楷体" w:cs="楷体"/>
          <w:sz w:val="28"/>
          <w:szCs w:val="28"/>
        </w:rPr>
        <w:t>（一）废水污染源及其治理措施</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本项目废水主要为职工生活污水和清洗废水。生活污水经化粪池处理后由环卫部门定期清运；清洗水取自自来水，废水经沉淀后用于厂区绿化和道路洒水。</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（二）废气污染源及其治理措施</w:t>
      </w:r>
    </w:p>
    <w:p>
      <w:pPr>
        <w:widowControl/>
        <w:spacing w:line="360" w:lineRule="auto"/>
        <w:ind w:firstLine="420" w:firstLineChars="15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本项目产生的废气主要为天然气燃烧废气（污染物为烟尘、SO</w:t>
      </w:r>
      <w:r>
        <w:rPr>
          <w:rFonts w:hint="eastAsia" w:ascii="楷体" w:hAnsi="楷体" w:eastAsia="楷体" w:cs="楷体"/>
          <w:sz w:val="28"/>
          <w:szCs w:val="28"/>
          <w:vertAlign w:val="subscript"/>
          <w:lang w:eastAsia="zh-CN"/>
        </w:rPr>
        <w:t>2</w:t>
      </w:r>
      <w:r>
        <w:rPr>
          <w:rFonts w:hint="eastAsia" w:ascii="楷体" w:hAnsi="楷体" w:eastAsia="楷体" w:cs="楷体"/>
          <w:sz w:val="28"/>
          <w:szCs w:val="28"/>
          <w:lang w:eastAsia="zh-CN"/>
        </w:rPr>
        <w:t xml:space="preserve"> 、NOx）及截管工艺产生的玻璃粉尘。天然气燃烧废气经集气罩收集后由一根18米排气筒排放；截管工艺玻璃粉尘由移动式布袋除尘器收集，部分未完全收集的粉尘无组织排放。</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（三）噪声</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 xml:space="preserve"> 项目主要噪声源为</w:t>
      </w:r>
      <w:r>
        <w:rPr>
          <w:rFonts w:hint="eastAsia" w:ascii="楷体" w:hAnsi="楷体" w:eastAsia="楷体" w:cs="楷体"/>
          <w:sz w:val="28"/>
          <w:szCs w:val="28"/>
          <w:lang w:eastAsia="zh-CN"/>
        </w:rPr>
        <w:t>截管机、成型机、制杯机、清洗机、退火炉</w:t>
      </w:r>
      <w:r>
        <w:rPr>
          <w:rFonts w:hint="eastAsia" w:ascii="楷体" w:hAnsi="楷体" w:eastAsia="楷体" w:cs="楷体"/>
          <w:sz w:val="28"/>
          <w:szCs w:val="28"/>
        </w:rPr>
        <w:t>等设备运转产生的噪声，通过选用低噪声设备，合理布置于厂房内，并采取了隔声、减振等有效的降噪措施达到较好的效果。</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（四）固体废物</w:t>
      </w:r>
    </w:p>
    <w:p>
      <w:pPr>
        <w:spacing w:line="360" w:lineRule="auto"/>
        <w:ind w:firstLine="560" w:firstLineChars="200"/>
        <w:rPr>
          <w:rFonts w:hint="eastAsia" w:ascii="楷体" w:hAnsi="楷体" w:eastAsia="楷体" w:cs="楷体"/>
          <w:sz w:val="28"/>
          <w:szCs w:val="28"/>
          <w:lang w:eastAsia="zh-CN"/>
        </w:rPr>
      </w:pPr>
      <w:r>
        <w:rPr>
          <w:rFonts w:hint="eastAsia" w:ascii="楷体" w:hAnsi="楷体" w:eastAsia="楷体" w:cs="楷体"/>
          <w:sz w:val="28"/>
          <w:szCs w:val="28"/>
          <w:lang w:eastAsia="zh-CN"/>
        </w:rPr>
        <w:t>本项目固体废弃物主要为下脚料（碎玻璃）、不合格品、废包装材料及职工生活垃圾。下脚料（碎玻璃）、不合格品、废包装材料收集后暂存在固废储存场所定期外售；生活垃圾委托环卫部门定期清理。</w:t>
      </w:r>
    </w:p>
    <w:p>
      <w:pPr>
        <w:spacing w:line="360" w:lineRule="auto"/>
        <w:ind w:firstLine="560" w:firstLineChars="200"/>
        <w:rPr>
          <w:rFonts w:ascii="楷体" w:hAnsi="楷体" w:eastAsia="楷体" w:cs="楷体"/>
          <w:sz w:val="28"/>
          <w:szCs w:val="28"/>
        </w:rPr>
      </w:pPr>
      <w:r>
        <w:rPr>
          <w:rFonts w:hint="eastAsia" w:ascii="楷体" w:hAnsi="楷体" w:eastAsia="楷体" w:cs="楷体"/>
          <w:sz w:val="28"/>
          <w:szCs w:val="28"/>
        </w:rPr>
        <w:t>四、验收监测结果</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（一）环保设施运行检测结果</w:t>
      </w:r>
    </w:p>
    <w:p>
      <w:pPr>
        <w:widowControl/>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lang w:eastAsia="zh-CN"/>
        </w:rPr>
        <w:t>阳谷县环境保护监测站</w:t>
      </w:r>
      <w:r>
        <w:rPr>
          <w:rFonts w:hint="eastAsia" w:ascii="楷体" w:hAnsi="楷体" w:eastAsia="楷体" w:cs="楷体"/>
          <w:sz w:val="28"/>
          <w:szCs w:val="28"/>
        </w:rPr>
        <w:t>出具的《</w:t>
      </w:r>
      <w:r>
        <w:rPr>
          <w:rFonts w:hint="eastAsia" w:ascii="楷体" w:hAnsi="楷体" w:eastAsia="楷体" w:cs="楷体"/>
          <w:sz w:val="28"/>
          <w:szCs w:val="28"/>
          <w:lang w:eastAsia="zh-CN"/>
        </w:rPr>
        <w:t>山东阳谷玻璃工艺制品厂年产100万只玻璃口杯项目</w:t>
      </w:r>
      <w:r>
        <w:rPr>
          <w:rFonts w:hint="eastAsia" w:ascii="楷体" w:hAnsi="楷体" w:eastAsia="楷体" w:cs="楷体"/>
          <w:sz w:val="28"/>
          <w:szCs w:val="28"/>
        </w:rPr>
        <w:t>竣工环境保护验收监测报告》监测结果表明：</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1.废气</w:t>
      </w:r>
    </w:p>
    <w:p>
      <w:pPr>
        <w:widowControl/>
        <w:spacing w:line="360" w:lineRule="auto"/>
        <w:ind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验收监测期间，有组织废气两天监测的污染物排放浓度最高分别为烟尘：</w:t>
      </w:r>
    </w:p>
    <w:p>
      <w:pPr>
        <w:widowControl/>
        <w:spacing w:line="360" w:lineRule="auto"/>
        <w:jc w:val="left"/>
        <w:rPr>
          <w:rFonts w:ascii="楷体" w:hAnsi="楷体" w:eastAsia="楷体" w:cs="楷体"/>
          <w:sz w:val="28"/>
          <w:szCs w:val="28"/>
          <w:lang w:val="zh-CN"/>
        </w:rPr>
      </w:pPr>
      <w:r>
        <w:rPr>
          <w:rFonts w:hint="eastAsia" w:ascii="楷体" w:hAnsi="楷体" w:eastAsia="楷体" w:cs="楷体"/>
          <w:sz w:val="28"/>
          <w:szCs w:val="28"/>
          <w:lang w:eastAsia="zh-CN"/>
        </w:rPr>
        <w:t>0.579mg/m</w:t>
      </w:r>
      <w:r>
        <w:rPr>
          <w:rFonts w:hint="eastAsia" w:ascii="楷体" w:hAnsi="楷体" w:eastAsia="楷体" w:cs="楷体"/>
          <w:sz w:val="28"/>
          <w:szCs w:val="28"/>
          <w:vertAlign w:val="superscript"/>
          <w:lang w:eastAsia="zh-CN"/>
        </w:rPr>
        <w:t>3</w:t>
      </w:r>
      <w:r>
        <w:rPr>
          <w:rFonts w:hint="eastAsia" w:ascii="楷体" w:hAnsi="楷体" w:eastAsia="楷体" w:cs="楷体"/>
          <w:sz w:val="28"/>
          <w:szCs w:val="28"/>
          <w:lang w:eastAsia="zh-CN"/>
        </w:rPr>
        <w:t>、SO</w:t>
      </w:r>
      <w:r>
        <w:rPr>
          <w:rFonts w:hint="eastAsia" w:ascii="楷体" w:hAnsi="楷体" w:eastAsia="楷体" w:cs="楷体"/>
          <w:sz w:val="28"/>
          <w:szCs w:val="28"/>
          <w:vertAlign w:val="subscript"/>
          <w:lang w:eastAsia="zh-CN"/>
        </w:rPr>
        <w:t>2</w:t>
      </w:r>
      <w:r>
        <w:rPr>
          <w:rFonts w:hint="eastAsia" w:ascii="楷体" w:hAnsi="楷体" w:eastAsia="楷体" w:cs="楷体"/>
          <w:sz w:val="28"/>
          <w:szCs w:val="28"/>
          <w:lang w:eastAsia="zh-CN"/>
        </w:rPr>
        <w:t xml:space="preserve"> ：未检出、NOx：15mg/m</w:t>
      </w:r>
      <w:r>
        <w:rPr>
          <w:rFonts w:hint="eastAsia" w:ascii="楷体" w:hAnsi="楷体" w:eastAsia="楷体" w:cs="楷体"/>
          <w:sz w:val="28"/>
          <w:szCs w:val="28"/>
          <w:vertAlign w:val="superscript"/>
          <w:lang w:eastAsia="zh-CN"/>
        </w:rPr>
        <w:t>3</w:t>
      </w:r>
      <w:r>
        <w:rPr>
          <w:rFonts w:hint="eastAsia" w:ascii="楷体" w:hAnsi="楷体" w:eastAsia="楷体" w:cs="楷体"/>
          <w:sz w:val="28"/>
          <w:szCs w:val="28"/>
          <w:vertAlign w:val="baseline"/>
          <w:lang w:eastAsia="zh-CN"/>
        </w:rPr>
        <w:t>，</w:t>
      </w:r>
      <w:r>
        <w:rPr>
          <w:rFonts w:hint="eastAsia" w:ascii="楷体" w:hAnsi="楷体" w:eastAsia="楷体" w:cs="楷体"/>
          <w:sz w:val="28"/>
          <w:szCs w:val="28"/>
          <w:lang w:eastAsia="zh-CN"/>
        </w:rPr>
        <w:t>监测结果满足《山东省区域性大气污染物综合排放标准》（DB37/2376-2013）表2中“一般控制区”限值要求。</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2、噪声</w:t>
      </w:r>
    </w:p>
    <w:p>
      <w:pPr>
        <w:widowControl/>
        <w:spacing w:line="360" w:lineRule="auto"/>
        <w:ind w:firstLine="560" w:firstLineChars="20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验收监测期间，本项目噪声监测结果为昼间 54.7dB（A）～58.8dB（A），夜间不生产，不产生噪声。噪声监测结果满足《工业企业厂界环境噪声排放标准》（GB12348-2008）中的2类区标准限值要求。</w:t>
      </w:r>
    </w:p>
    <w:p>
      <w:pPr>
        <w:spacing w:beforeLines="50" w:line="360" w:lineRule="auto"/>
        <w:ind w:firstLine="548" w:firstLineChars="196"/>
        <w:rPr>
          <w:rFonts w:ascii="楷体" w:hAnsi="楷体" w:eastAsia="楷体" w:cs="楷体"/>
          <w:color w:val="FF0000"/>
          <w:sz w:val="28"/>
          <w:szCs w:val="28"/>
        </w:rPr>
      </w:pPr>
      <w:r>
        <w:rPr>
          <w:rFonts w:hint="eastAsia" w:ascii="楷体" w:hAnsi="楷体" w:eastAsia="楷体" w:cs="楷体"/>
          <w:sz w:val="28"/>
          <w:szCs w:val="28"/>
        </w:rPr>
        <w:t>3．固体废物</w:t>
      </w:r>
    </w:p>
    <w:p>
      <w:pPr>
        <w:spacing w:line="360" w:lineRule="auto"/>
        <w:ind w:firstLine="560" w:firstLineChars="200"/>
        <w:rPr>
          <w:rFonts w:hint="eastAsia" w:ascii="楷体" w:hAnsi="楷体" w:eastAsia="楷体" w:cs="楷体"/>
          <w:sz w:val="28"/>
          <w:szCs w:val="28"/>
          <w:lang w:eastAsia="zh-CN"/>
        </w:rPr>
      </w:pPr>
      <w:r>
        <w:rPr>
          <w:rFonts w:hint="eastAsia" w:ascii="楷体" w:hAnsi="楷体" w:eastAsia="楷体" w:cs="楷体"/>
          <w:sz w:val="28"/>
          <w:szCs w:val="28"/>
          <w:lang w:eastAsia="zh-CN"/>
        </w:rPr>
        <w:t>本项目固体废弃物主要为下脚料（碎玻璃）、不合格品、废包装材料及职工生活垃圾。下脚料（碎玻璃）、不合格品、废包装材料收集后暂存在固废储存场所定期外售；生活垃圾委托环卫部门定期清理。</w:t>
      </w:r>
    </w:p>
    <w:p>
      <w:pPr>
        <w:spacing w:line="360" w:lineRule="auto"/>
        <w:ind w:firstLine="560" w:firstLineChars="200"/>
        <w:rPr>
          <w:rFonts w:hint="eastAsia" w:ascii="楷体" w:hAnsi="楷体" w:eastAsia="楷体" w:cs="楷体"/>
          <w:sz w:val="28"/>
          <w:szCs w:val="28"/>
          <w:lang w:val="en-US" w:eastAsia="zh-CN"/>
        </w:rPr>
      </w:pPr>
    </w:p>
    <w:p>
      <w:pPr>
        <w:spacing w:beforeLines="50" w:line="360" w:lineRule="auto"/>
        <w:ind w:firstLine="280" w:firstLineChars="100"/>
        <w:rPr>
          <w:rFonts w:ascii="楷体" w:hAnsi="楷体" w:eastAsia="楷体" w:cs="楷体"/>
          <w:color w:val="000000"/>
          <w:sz w:val="28"/>
          <w:szCs w:val="28"/>
        </w:rPr>
      </w:pPr>
      <w:r>
        <w:rPr>
          <w:rFonts w:hint="eastAsia" w:ascii="楷体" w:hAnsi="楷体" w:eastAsia="楷体" w:cs="楷体"/>
          <w:color w:val="000000"/>
          <w:sz w:val="28"/>
          <w:szCs w:val="28"/>
        </w:rPr>
        <w:t>（二）环境管理调查</w:t>
      </w:r>
    </w:p>
    <w:p>
      <w:pPr>
        <w:spacing w:line="360" w:lineRule="auto"/>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lang w:eastAsia="zh-CN"/>
        </w:rPr>
        <w:t>山东阳谷玻璃工艺制品厂</w:t>
      </w:r>
      <w:r>
        <w:rPr>
          <w:rFonts w:hint="eastAsia" w:ascii="楷体" w:hAnsi="楷体" w:eastAsia="楷体" w:cs="楷体"/>
          <w:color w:val="000000"/>
          <w:sz w:val="28"/>
          <w:szCs w:val="28"/>
        </w:rPr>
        <w:t>制定了《</w:t>
      </w:r>
      <w:r>
        <w:rPr>
          <w:rFonts w:hint="eastAsia" w:ascii="楷体" w:hAnsi="楷体" w:eastAsia="楷体" w:cs="楷体"/>
          <w:color w:val="000000"/>
          <w:sz w:val="28"/>
          <w:szCs w:val="28"/>
          <w:lang w:eastAsia="zh-CN"/>
        </w:rPr>
        <w:t>山东阳谷玻璃工艺制品厂</w:t>
      </w:r>
      <w:r>
        <w:rPr>
          <w:rFonts w:hint="eastAsia" w:ascii="楷体" w:hAnsi="楷体" w:eastAsia="楷体" w:cs="楷体"/>
          <w:color w:val="000000"/>
          <w:sz w:val="28"/>
          <w:szCs w:val="28"/>
        </w:rPr>
        <w:t>环保管理制度》,并设立了相关机构。日常工作由工程部门归口管理，其主要职责是：行使公司环保工作的计划、组织、指挥、协调、检查和考核管理职能，日常一切工作须对公司负责。</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五、专家意见：</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在今后企业环保工作中，建议企业落实以下要求。</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1、加强文本制作质量，审核关于废气检测数据、设备清单、实际投资金额及工艺流程内容，使文本内容真实可靠，进一步完善、核实验收检测报告。</w:t>
      </w:r>
    </w:p>
    <w:p>
      <w:pPr>
        <w:spacing w:line="360" w:lineRule="auto"/>
        <w:ind w:firstLine="420" w:firstLineChars="150"/>
        <w:jc w:val="left"/>
        <w:rPr>
          <w:rFonts w:hint="eastAsia" w:ascii="楷体" w:hAnsi="楷体" w:eastAsia="楷体" w:cs="楷体"/>
          <w:sz w:val="28"/>
          <w:szCs w:val="28"/>
          <w:lang w:eastAsia="zh-CN"/>
        </w:rPr>
      </w:pPr>
      <w:r>
        <w:rPr>
          <w:rFonts w:hint="eastAsia" w:ascii="楷体" w:hAnsi="楷体" w:eastAsia="楷体" w:cs="楷体"/>
          <w:sz w:val="28"/>
          <w:szCs w:val="28"/>
        </w:rPr>
        <w:t>2、</w:t>
      </w:r>
      <w:r>
        <w:rPr>
          <w:rFonts w:hint="eastAsia" w:ascii="楷体" w:hAnsi="楷体" w:eastAsia="楷体" w:cs="楷体"/>
          <w:sz w:val="28"/>
          <w:szCs w:val="28"/>
          <w:lang w:eastAsia="zh-CN"/>
        </w:rPr>
        <w:t>规范采样爬梯、平台及采样口。</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3、切管工序应增设一台布袋除尘器，及时清理玻璃粉尘。</w:t>
      </w:r>
    </w:p>
    <w:p>
      <w:pPr>
        <w:pStyle w:val="2"/>
        <w:ind w:left="0" w:leftChars="0" w:firstLine="420" w:firstLineChars="150"/>
        <w:rPr>
          <w:rFonts w:hint="eastAsia"/>
          <w:lang w:val="en-US" w:eastAsia="zh-CN"/>
        </w:rPr>
      </w:pPr>
      <w:r>
        <w:rPr>
          <w:rFonts w:hint="eastAsia" w:ascii="楷体" w:hAnsi="楷体" w:eastAsia="楷体" w:cs="楷体"/>
          <w:kern w:val="2"/>
          <w:sz w:val="28"/>
          <w:szCs w:val="28"/>
          <w:lang w:val="en-US" w:eastAsia="zh-CN" w:bidi="ar-SA"/>
        </w:rPr>
        <w:t>六、整改照片</w:t>
      </w:r>
      <w:r>
        <w:rPr>
          <w:rFonts w:hint="eastAsia"/>
          <w:lang w:val="en-US" w:eastAsia="zh-CN"/>
        </w:rPr>
        <w:t>：</w:t>
      </w:r>
    </w:p>
    <w:p>
      <w:pPr>
        <w:pStyle w:val="2"/>
        <w:ind w:left="0" w:leftChars="0" w:firstLine="420" w:firstLineChars="150"/>
        <w:rPr>
          <w:rFonts w:hint="eastAsia"/>
          <w:lang w:val="en-US" w:eastAsia="zh-CN"/>
        </w:rPr>
      </w:pPr>
      <w:r>
        <w:rPr>
          <w:rFonts w:hint="eastAsia"/>
          <w:lang w:val="en-US" w:eastAsia="zh-CN"/>
        </w:rPr>
        <w:drawing>
          <wp:inline distT="0" distB="0" distL="114300" distR="114300">
            <wp:extent cx="2637790" cy="3517265"/>
            <wp:effectExtent l="0" t="0" r="10160" b="6985"/>
            <wp:docPr id="1" name="图片 1" descr="微信图片_20180806142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80806142809"/>
                    <pic:cNvPicPr>
                      <a:picLocks noChangeAspect="1"/>
                    </pic:cNvPicPr>
                  </pic:nvPicPr>
                  <pic:blipFill>
                    <a:blip r:embed="rId4"/>
                    <a:stretch>
                      <a:fillRect/>
                    </a:stretch>
                  </pic:blipFill>
                  <pic:spPr>
                    <a:xfrm>
                      <a:off x="0" y="0"/>
                      <a:ext cx="2637790" cy="3517265"/>
                    </a:xfrm>
                    <a:prstGeom prst="rect">
                      <a:avLst/>
                    </a:prstGeom>
                  </pic:spPr>
                </pic:pic>
              </a:graphicData>
            </a:graphic>
          </wp:inline>
        </w:drawing>
      </w:r>
      <w:bookmarkStart w:id="0" w:name="_GoBack"/>
      <w:r>
        <w:rPr>
          <w:rFonts w:hint="eastAsia"/>
          <w:lang w:val="en-US" w:eastAsia="zh-CN"/>
        </w:rPr>
        <w:drawing>
          <wp:inline distT="0" distB="0" distL="114300" distR="114300">
            <wp:extent cx="2627630" cy="3503930"/>
            <wp:effectExtent l="0" t="0" r="1270" b="1270"/>
            <wp:docPr id="2" name="图片 2" descr="微信图片_20180806144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80806144438"/>
                    <pic:cNvPicPr>
                      <a:picLocks noChangeAspect="1"/>
                    </pic:cNvPicPr>
                  </pic:nvPicPr>
                  <pic:blipFill>
                    <a:blip r:embed="rId5"/>
                    <a:stretch>
                      <a:fillRect/>
                    </a:stretch>
                  </pic:blipFill>
                  <pic:spPr>
                    <a:xfrm>
                      <a:off x="0" y="0"/>
                      <a:ext cx="2627630" cy="3503930"/>
                    </a:xfrm>
                    <a:prstGeom prst="rect">
                      <a:avLst/>
                    </a:prstGeom>
                  </pic:spPr>
                </pic:pic>
              </a:graphicData>
            </a:graphic>
          </wp:inline>
        </w:drawing>
      </w:r>
      <w:bookmarkEnd w:id="0"/>
    </w:p>
    <w:p>
      <w:pPr>
        <w:pStyle w:val="2"/>
        <w:ind w:left="0" w:leftChars="0" w:firstLine="420" w:firstLineChars="150"/>
        <w:jc w:val="left"/>
        <w:rPr>
          <w:rFonts w:hint="eastAsia"/>
          <w:lang w:val="en-US" w:eastAsia="zh-CN"/>
        </w:rPr>
      </w:pPr>
    </w:p>
    <w:p>
      <w:pPr>
        <w:spacing w:line="360" w:lineRule="auto"/>
        <w:ind w:firstLine="420" w:firstLineChars="150"/>
        <w:jc w:val="left"/>
        <w:rPr>
          <w:rFonts w:hint="eastAsia" w:ascii="楷体" w:hAnsi="楷体" w:eastAsia="楷体" w:cs="楷体"/>
          <w:sz w:val="28"/>
          <w:szCs w:val="28"/>
          <w:lang w:eastAsia="zh-CN"/>
        </w:rPr>
      </w:pP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lang w:eastAsia="zh-CN"/>
        </w:rPr>
        <w:t>七</w:t>
      </w:r>
      <w:r>
        <w:rPr>
          <w:rFonts w:hint="eastAsia" w:ascii="楷体" w:hAnsi="楷体" w:eastAsia="楷体" w:cs="楷体"/>
          <w:sz w:val="28"/>
          <w:szCs w:val="28"/>
        </w:rPr>
        <w:t>、验收结论</w:t>
      </w:r>
    </w:p>
    <w:p>
      <w:pPr>
        <w:spacing w:line="360" w:lineRule="auto"/>
        <w:ind w:firstLine="555"/>
        <w:rPr>
          <w:rFonts w:ascii="楷体" w:hAnsi="楷体" w:eastAsia="楷体" w:cs="楷体"/>
          <w:sz w:val="28"/>
          <w:szCs w:val="28"/>
        </w:rPr>
      </w:pPr>
      <w:r>
        <w:rPr>
          <w:rFonts w:hint="eastAsia" w:ascii="楷体" w:hAnsi="楷体" w:eastAsia="楷体" w:cs="楷体"/>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ascii="楷体" w:hAnsi="楷体" w:eastAsia="楷体" w:cs="楷体"/>
          <w:sz w:val="28"/>
          <w:szCs w:val="28"/>
        </w:rPr>
      </w:pPr>
      <w:r>
        <w:rPr>
          <w:rFonts w:hint="eastAsia" w:ascii="楷体" w:hAnsi="楷体" w:eastAsia="楷体" w:cs="楷体"/>
          <w:sz w:val="28"/>
          <w:szCs w:val="28"/>
        </w:rPr>
        <w:t xml:space="preserve">                          </w:t>
      </w:r>
      <w:r>
        <w:rPr>
          <w:rFonts w:hint="eastAsia" w:ascii="楷体" w:hAnsi="楷体" w:eastAsia="楷体" w:cs="楷体"/>
          <w:sz w:val="28"/>
          <w:szCs w:val="28"/>
          <w:lang w:eastAsia="zh-CN"/>
        </w:rPr>
        <w:t>山东阳谷玻璃工艺制品厂</w:t>
      </w:r>
      <w:r>
        <w:rPr>
          <w:rFonts w:hint="eastAsia" w:ascii="楷体" w:hAnsi="楷体" w:eastAsia="楷体" w:cs="楷体"/>
          <w:sz w:val="28"/>
          <w:szCs w:val="28"/>
        </w:rPr>
        <w:t>验收组</w:t>
      </w:r>
    </w:p>
    <w:p>
      <w:pPr>
        <w:spacing w:line="360" w:lineRule="auto"/>
        <w:jc w:val="right"/>
      </w:pPr>
      <w:r>
        <w:rPr>
          <w:rFonts w:hint="eastAsia" w:ascii="楷体" w:hAnsi="楷体" w:eastAsia="楷体" w:cs="楷体"/>
          <w:sz w:val="28"/>
          <w:szCs w:val="28"/>
        </w:rPr>
        <w:t xml:space="preserve">                                2018年7月</w:t>
      </w:r>
      <w:r>
        <w:rPr>
          <w:rFonts w:hint="eastAsia" w:ascii="楷体" w:hAnsi="楷体" w:eastAsia="楷体" w:cs="楷体"/>
          <w:sz w:val="28"/>
          <w:szCs w:val="28"/>
          <w:lang w:val="en-US" w:eastAsia="zh-CN"/>
        </w:rPr>
        <w:t>25</w:t>
      </w:r>
      <w:r>
        <w:rPr>
          <w:rFonts w:hint="eastAsia" w:ascii="楷体" w:hAnsi="楷体" w:eastAsia="楷体" w:cs="楷体"/>
          <w:sz w:val="28"/>
          <w:szCs w:val="28"/>
        </w:rPr>
        <w:t xml:space="preserve">日 </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752F3F"/>
    <w:rsid w:val="00015DD7"/>
    <w:rsid w:val="00057AE6"/>
    <w:rsid w:val="00062BC5"/>
    <w:rsid w:val="000C4E79"/>
    <w:rsid w:val="001777C5"/>
    <w:rsid w:val="0021059E"/>
    <w:rsid w:val="00216D12"/>
    <w:rsid w:val="0026170E"/>
    <w:rsid w:val="002C493C"/>
    <w:rsid w:val="00340B0A"/>
    <w:rsid w:val="00364672"/>
    <w:rsid w:val="003D58AD"/>
    <w:rsid w:val="0040329E"/>
    <w:rsid w:val="00574C7A"/>
    <w:rsid w:val="005A4A68"/>
    <w:rsid w:val="005E5F6F"/>
    <w:rsid w:val="00601A89"/>
    <w:rsid w:val="00617CA2"/>
    <w:rsid w:val="0063240F"/>
    <w:rsid w:val="006B4E83"/>
    <w:rsid w:val="006D600D"/>
    <w:rsid w:val="00704C1C"/>
    <w:rsid w:val="00752F3F"/>
    <w:rsid w:val="007621BC"/>
    <w:rsid w:val="007B286E"/>
    <w:rsid w:val="007E23B4"/>
    <w:rsid w:val="007F2189"/>
    <w:rsid w:val="007F513F"/>
    <w:rsid w:val="008D13B7"/>
    <w:rsid w:val="008F366D"/>
    <w:rsid w:val="00965CD8"/>
    <w:rsid w:val="009722EA"/>
    <w:rsid w:val="009A73D2"/>
    <w:rsid w:val="009E04DC"/>
    <w:rsid w:val="00A21740"/>
    <w:rsid w:val="00A24CA0"/>
    <w:rsid w:val="00A36E7B"/>
    <w:rsid w:val="00A411AF"/>
    <w:rsid w:val="00B0594C"/>
    <w:rsid w:val="00BC7155"/>
    <w:rsid w:val="00CC379B"/>
    <w:rsid w:val="00CF7AD8"/>
    <w:rsid w:val="00D6473E"/>
    <w:rsid w:val="00E3735B"/>
    <w:rsid w:val="00EF0FDC"/>
    <w:rsid w:val="00F056C7"/>
    <w:rsid w:val="00F45902"/>
    <w:rsid w:val="00FC25EE"/>
    <w:rsid w:val="00FE23E9"/>
    <w:rsid w:val="00FF647F"/>
    <w:rsid w:val="04334B5D"/>
    <w:rsid w:val="080C1189"/>
    <w:rsid w:val="08516DB8"/>
    <w:rsid w:val="0B3710F6"/>
    <w:rsid w:val="11C63CC0"/>
    <w:rsid w:val="1887595F"/>
    <w:rsid w:val="188E2022"/>
    <w:rsid w:val="1A1158EF"/>
    <w:rsid w:val="1B5934FA"/>
    <w:rsid w:val="1D486EF1"/>
    <w:rsid w:val="1EB23C92"/>
    <w:rsid w:val="21053023"/>
    <w:rsid w:val="2F45678C"/>
    <w:rsid w:val="3398641F"/>
    <w:rsid w:val="3BA24A74"/>
    <w:rsid w:val="3C9D29D7"/>
    <w:rsid w:val="3DDF6304"/>
    <w:rsid w:val="3E407687"/>
    <w:rsid w:val="40516DBF"/>
    <w:rsid w:val="45451C7E"/>
    <w:rsid w:val="4E556860"/>
    <w:rsid w:val="55424CCC"/>
    <w:rsid w:val="5C687BD7"/>
    <w:rsid w:val="639A5435"/>
    <w:rsid w:val="6C536FFC"/>
    <w:rsid w:val="6C935275"/>
    <w:rsid w:val="74234EB6"/>
    <w:rsid w:val="747F6622"/>
    <w:rsid w:val="793830BA"/>
    <w:rsid w:val="7A56601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Balloon Text"/>
    <w:basedOn w:val="1"/>
    <w:link w:val="15"/>
    <w:semiHidden/>
    <w:unhideWhenUsed/>
    <w:uiPriority w:val="99"/>
    <w:rPr>
      <w:sz w:val="18"/>
      <w:szCs w:val="18"/>
    </w:rPr>
  </w:style>
  <w:style w:type="paragraph" w:styleId="4">
    <w:name w:val="footer"/>
    <w:basedOn w:val="1"/>
    <w:link w:val="10"/>
    <w:semiHidden/>
    <w:qFormat/>
    <w:uiPriority w:val="99"/>
    <w:pPr>
      <w:tabs>
        <w:tab w:val="center" w:pos="4153"/>
        <w:tab w:val="right" w:pos="8306"/>
      </w:tabs>
      <w:snapToGrid w:val="0"/>
      <w:jc w:val="left"/>
    </w:pPr>
    <w:rPr>
      <w:sz w:val="18"/>
      <w:szCs w:val="18"/>
    </w:rPr>
  </w:style>
  <w:style w:type="paragraph" w:styleId="5">
    <w:name w:val="header"/>
    <w:basedOn w:val="1"/>
    <w:link w:val="9"/>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8">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9">
    <w:name w:val="页眉 Char"/>
    <w:basedOn w:val="6"/>
    <w:link w:val="5"/>
    <w:semiHidden/>
    <w:qFormat/>
    <w:locked/>
    <w:uiPriority w:val="99"/>
    <w:rPr>
      <w:rFonts w:cs="Times New Roman"/>
      <w:sz w:val="18"/>
      <w:szCs w:val="18"/>
    </w:rPr>
  </w:style>
  <w:style w:type="character" w:customStyle="1" w:styleId="10">
    <w:name w:val="页脚 Char"/>
    <w:basedOn w:val="6"/>
    <w:link w:val="4"/>
    <w:semiHidden/>
    <w:qFormat/>
    <w:locked/>
    <w:uiPriority w:val="99"/>
    <w:rPr>
      <w:rFonts w:cs="Times New Roman"/>
      <w:sz w:val="18"/>
      <w:szCs w:val="18"/>
    </w:rPr>
  </w:style>
  <w:style w:type="paragraph" w:styleId="11">
    <w:name w:val="List Paragraph"/>
    <w:basedOn w:val="1"/>
    <w:qFormat/>
    <w:uiPriority w:val="99"/>
    <w:pPr>
      <w:ind w:firstLine="420" w:firstLineChars="200"/>
    </w:pPr>
  </w:style>
  <w:style w:type="character" w:customStyle="1" w:styleId="12">
    <w:name w:val="正1 Char"/>
    <w:link w:val="13"/>
    <w:qFormat/>
    <w:locked/>
    <w:uiPriority w:val="99"/>
    <w:rPr>
      <w:rFonts w:eastAsia="楷体_GB2312"/>
      <w:sz w:val="24"/>
    </w:rPr>
  </w:style>
  <w:style w:type="paragraph" w:customStyle="1" w:styleId="13">
    <w:name w:val="正1"/>
    <w:basedOn w:val="1"/>
    <w:link w:val="12"/>
    <w:qFormat/>
    <w:uiPriority w:val="99"/>
    <w:pPr>
      <w:spacing w:line="360" w:lineRule="auto"/>
      <w:ind w:firstLine="200" w:firstLineChars="200"/>
      <w:jc w:val="left"/>
    </w:pPr>
    <w:rPr>
      <w:rFonts w:ascii="Calibri" w:hAnsi="Calibri" w:eastAsia="楷体_GB2312"/>
      <w:kern w:val="0"/>
      <w:sz w:val="24"/>
    </w:rPr>
  </w:style>
  <w:style w:type="paragraph" w:customStyle="1" w:styleId="14">
    <w:name w:val="Char Char Char Char Char Char Char"/>
    <w:basedOn w:val="1"/>
    <w:qFormat/>
    <w:uiPriority w:val="99"/>
  </w:style>
  <w:style w:type="character" w:customStyle="1" w:styleId="15">
    <w:name w:val="批注框文本 Char"/>
    <w:basedOn w:val="6"/>
    <w:link w:val="3"/>
    <w:semiHidden/>
    <w:qFormat/>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327</Words>
  <Characters>1864</Characters>
  <Lines>15</Lines>
  <Paragraphs>4</Paragraphs>
  <TotalTime>18</TotalTime>
  <ScaleCrop>false</ScaleCrop>
  <LinksUpToDate>false</LinksUpToDate>
  <CharactersWithSpaces>2187</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Time±</cp:lastModifiedBy>
  <dcterms:modified xsi:type="dcterms:W3CDTF">2018-08-06T06:45:23Z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