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冠县东辉轴承加工厂年加工300吨精密轴承配件项目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29</w:t>
      </w:r>
      <w:r>
        <w:rPr>
          <w:rFonts w:hint="eastAsia" w:ascii="楷体" w:hAnsi="楷体" w:eastAsia="楷体" w:cs="楷体"/>
          <w:sz w:val="28"/>
          <w:szCs w:val="28"/>
        </w:rPr>
        <w:t>日，</w:t>
      </w:r>
      <w:r>
        <w:rPr>
          <w:rFonts w:hint="eastAsia" w:ascii="楷体" w:hAnsi="楷体" w:eastAsia="楷体" w:cs="楷体"/>
          <w:sz w:val="28"/>
          <w:szCs w:val="28"/>
          <w:lang w:eastAsia="zh-CN"/>
        </w:rPr>
        <w:t>冠县东辉轴承加工厂</w:t>
      </w:r>
      <w:r>
        <w:rPr>
          <w:rFonts w:hint="eastAsia" w:ascii="楷体" w:hAnsi="楷体" w:eastAsia="楷体" w:cs="楷体"/>
          <w:sz w:val="28"/>
          <w:szCs w:val="28"/>
        </w:rPr>
        <w:t>组织召开公司</w:t>
      </w:r>
      <w:r>
        <w:rPr>
          <w:rFonts w:hint="eastAsia" w:ascii="楷体" w:hAnsi="楷体" w:eastAsia="楷体" w:cs="楷体"/>
          <w:sz w:val="28"/>
          <w:szCs w:val="28"/>
          <w:lang w:eastAsia="zh-CN"/>
        </w:rPr>
        <w:t>年加工300吨精密轴承配件项目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冠县东辉轴承加工厂</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）并特邀3名技术专家（名单附后）组成。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冠县兰沃乡田寨村</w:t>
      </w:r>
      <w:r>
        <w:rPr>
          <w:rFonts w:hint="eastAsia" w:ascii="楷体" w:hAnsi="楷体" w:eastAsia="楷体" w:cs="楷体"/>
          <w:sz w:val="28"/>
          <w:szCs w:val="28"/>
        </w:rPr>
        <w:t>。主要为</w:t>
      </w:r>
      <w:r>
        <w:rPr>
          <w:rFonts w:hint="eastAsia" w:ascii="楷体" w:hAnsi="楷体" w:eastAsia="楷体" w:cs="楷体"/>
          <w:sz w:val="28"/>
          <w:szCs w:val="28"/>
          <w:lang w:eastAsia="zh-CN"/>
        </w:rPr>
        <w:t>年加工300吨精密轴承配件项目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140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900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冲床、车床、电炉、冷却塔</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20</w:t>
      </w:r>
      <w:r>
        <w:rPr>
          <w:rFonts w:hint="eastAsia" w:ascii="楷体" w:hAnsi="楷体" w:eastAsia="楷体" w:cs="楷体"/>
          <w:sz w:val="28"/>
          <w:szCs w:val="28"/>
          <w:lang w:val="en-US" w:eastAsia="zh-CN"/>
        </w:rPr>
        <w:t>17</w:t>
      </w:r>
      <w:r>
        <w:rPr>
          <w:rFonts w:hint="eastAsia" w:ascii="楷体" w:hAnsi="楷体" w:eastAsia="楷体" w:cs="楷体"/>
          <w:sz w:val="28"/>
          <w:szCs w:val="28"/>
        </w:rPr>
        <w:t>年</w:t>
      </w:r>
      <w:r>
        <w:rPr>
          <w:rFonts w:hint="eastAsia" w:ascii="楷体" w:hAnsi="楷体" w:eastAsia="楷体" w:cs="楷体"/>
          <w:sz w:val="28"/>
          <w:szCs w:val="28"/>
          <w:lang w:val="en-US" w:eastAsia="zh-CN"/>
        </w:rPr>
        <w:t>12</w:t>
      </w:r>
      <w:r>
        <w:rPr>
          <w:rFonts w:hint="eastAsia" w:ascii="楷体" w:hAnsi="楷体" w:eastAsia="楷体" w:cs="楷体"/>
          <w:sz w:val="28"/>
          <w:szCs w:val="28"/>
        </w:rPr>
        <w:t>月</w:t>
      </w:r>
      <w:r>
        <w:rPr>
          <w:rFonts w:hint="eastAsia" w:ascii="楷体" w:hAnsi="楷体" w:eastAsia="楷体" w:cs="楷体"/>
          <w:sz w:val="28"/>
          <w:szCs w:val="28"/>
          <w:lang w:eastAsia="zh-CN"/>
        </w:rPr>
        <w:t>冠县东辉轴承加工厂</w:t>
      </w:r>
      <w:r>
        <w:rPr>
          <w:rFonts w:hint="eastAsia" w:ascii="楷体" w:hAnsi="楷体" w:eastAsia="楷体" w:cs="楷体"/>
          <w:sz w:val="28"/>
          <w:szCs w:val="28"/>
        </w:rPr>
        <w:t>委托</w:t>
      </w:r>
      <w:r>
        <w:rPr>
          <w:rFonts w:hint="eastAsia" w:ascii="楷体" w:hAnsi="楷体" w:eastAsia="楷体" w:cs="楷体"/>
          <w:sz w:val="28"/>
          <w:szCs w:val="28"/>
          <w:lang w:eastAsia="zh-CN"/>
        </w:rPr>
        <w:t>宁夏智诚安环技术咨询有限公司</w:t>
      </w:r>
      <w:r>
        <w:rPr>
          <w:rFonts w:hint="eastAsia" w:ascii="楷体" w:hAnsi="楷体" w:eastAsia="楷体" w:cs="楷体"/>
          <w:sz w:val="28"/>
          <w:szCs w:val="28"/>
        </w:rPr>
        <w:t>编制了《</w:t>
      </w:r>
      <w:r>
        <w:rPr>
          <w:rFonts w:hint="eastAsia" w:ascii="楷体" w:hAnsi="楷体" w:eastAsia="楷体" w:cs="楷体"/>
          <w:sz w:val="28"/>
          <w:szCs w:val="28"/>
          <w:lang w:eastAsia="zh-CN"/>
        </w:rPr>
        <w:t>冠县东辉轴承加工厂年加工300吨精密轴承配件项目</w:t>
      </w:r>
      <w:r>
        <w:rPr>
          <w:rFonts w:hint="eastAsia" w:ascii="楷体" w:hAnsi="楷体" w:eastAsia="楷体" w:cs="楷体"/>
          <w:sz w:val="28"/>
          <w:szCs w:val="28"/>
        </w:rPr>
        <w:t>环境影响报告表》，201</w:t>
      </w:r>
      <w:r>
        <w:rPr>
          <w:rFonts w:hint="eastAsia" w:ascii="楷体" w:hAnsi="楷体" w:eastAsia="楷体" w:cs="楷体"/>
          <w:sz w:val="28"/>
          <w:szCs w:val="28"/>
          <w:lang w:val="en-US" w:eastAsia="zh-CN"/>
        </w:rPr>
        <w:t>8</w:t>
      </w:r>
      <w:r>
        <w:rPr>
          <w:rFonts w:hint="eastAsia" w:ascii="楷体" w:hAnsi="楷体" w:eastAsia="楷体" w:cs="楷体"/>
          <w:sz w:val="28"/>
          <w:szCs w:val="28"/>
        </w:rPr>
        <w:t>年</w:t>
      </w:r>
      <w:r>
        <w:rPr>
          <w:rFonts w:hint="eastAsia" w:ascii="楷体" w:hAnsi="楷体" w:eastAsia="楷体" w:cs="楷体"/>
          <w:sz w:val="28"/>
          <w:szCs w:val="28"/>
          <w:lang w:val="en-US" w:eastAsia="zh-CN"/>
        </w:rPr>
        <w:t>1</w:t>
      </w:r>
      <w:r>
        <w:rPr>
          <w:rFonts w:hint="eastAsia" w:ascii="楷体" w:hAnsi="楷体" w:eastAsia="楷体" w:cs="楷体"/>
          <w:sz w:val="28"/>
          <w:szCs w:val="28"/>
        </w:rPr>
        <w:t>月</w:t>
      </w:r>
      <w:r>
        <w:rPr>
          <w:rFonts w:hint="eastAsia" w:ascii="楷体" w:hAnsi="楷体" w:eastAsia="楷体" w:cs="楷体"/>
          <w:sz w:val="28"/>
          <w:szCs w:val="28"/>
          <w:lang w:val="en-US" w:eastAsia="zh-CN"/>
        </w:rPr>
        <w:t>3</w:t>
      </w:r>
      <w:r>
        <w:rPr>
          <w:rFonts w:hint="eastAsia" w:ascii="楷体" w:hAnsi="楷体" w:eastAsia="楷体" w:cs="楷体"/>
          <w:sz w:val="28"/>
          <w:szCs w:val="28"/>
        </w:rPr>
        <w:t>日</w:t>
      </w:r>
      <w:r>
        <w:rPr>
          <w:rFonts w:hint="eastAsia" w:ascii="楷体" w:hAnsi="楷体" w:eastAsia="楷体" w:cs="楷体"/>
          <w:sz w:val="28"/>
          <w:szCs w:val="28"/>
          <w:lang w:eastAsia="zh-CN"/>
        </w:rPr>
        <w:t>冠县环境保护局</w:t>
      </w:r>
      <w:r>
        <w:rPr>
          <w:rFonts w:hint="eastAsia" w:ascii="楷体" w:hAnsi="楷体" w:eastAsia="楷体" w:cs="楷体"/>
          <w:sz w:val="28"/>
          <w:szCs w:val="28"/>
        </w:rPr>
        <w:t>以</w:t>
      </w:r>
      <w:r>
        <w:rPr>
          <w:rFonts w:hint="eastAsia" w:ascii="楷体" w:hAnsi="楷体" w:eastAsia="楷体" w:cs="楷体"/>
          <w:sz w:val="28"/>
          <w:szCs w:val="28"/>
          <w:lang w:eastAsia="zh-CN"/>
        </w:rPr>
        <w:t>冠环报告表[2018]2号</w:t>
      </w:r>
      <w:r>
        <w:rPr>
          <w:rFonts w:hint="eastAsia" w:ascii="楷体" w:hAnsi="楷体" w:eastAsia="楷体" w:cs="楷体"/>
          <w:sz w:val="28"/>
          <w:szCs w:val="28"/>
        </w:rPr>
        <w:t>对其进行了审批。2018年</w:t>
      </w:r>
      <w:r>
        <w:rPr>
          <w:rFonts w:hint="eastAsia" w:ascii="楷体" w:hAnsi="楷体" w:eastAsia="楷体" w:cs="楷体"/>
          <w:sz w:val="28"/>
          <w:szCs w:val="28"/>
          <w:lang w:val="en-US" w:eastAsia="zh-CN"/>
        </w:rPr>
        <w:t>5</w:t>
      </w:r>
      <w:r>
        <w:rPr>
          <w:rFonts w:hint="eastAsia" w:ascii="楷体" w:hAnsi="楷体" w:eastAsia="楷体" w:cs="楷体"/>
          <w:sz w:val="28"/>
          <w:szCs w:val="28"/>
        </w:rPr>
        <w:t>月份公司委托</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进行该项目的环保验收监测工作，接受委托后</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组织有关技术人员进行现场踏勘，依据监测技术规范制定了环保验收监测方案，并于2018年6月</w:t>
      </w:r>
      <w:r>
        <w:rPr>
          <w:rFonts w:hint="eastAsia" w:ascii="楷体" w:hAnsi="楷体" w:eastAsia="楷体" w:cs="楷体"/>
          <w:sz w:val="28"/>
          <w:szCs w:val="28"/>
          <w:lang w:val="en-US" w:eastAsia="zh-CN"/>
        </w:rPr>
        <w:t>24</w:t>
      </w:r>
      <w:r>
        <w:rPr>
          <w:rFonts w:hint="eastAsia" w:ascii="楷体" w:hAnsi="楷体" w:eastAsia="楷体" w:cs="楷体"/>
          <w:sz w:val="28"/>
          <w:szCs w:val="28"/>
        </w:rPr>
        <w:t>日</w:t>
      </w:r>
      <w:r>
        <w:rPr>
          <w:rFonts w:hint="eastAsia" w:ascii="楷体" w:hAnsi="楷体" w:eastAsia="楷体" w:cs="楷体"/>
          <w:sz w:val="28"/>
          <w:szCs w:val="28"/>
          <w:lang w:eastAsia="zh-CN"/>
        </w:rPr>
        <w:t>和</w:t>
      </w:r>
      <w:r>
        <w:rPr>
          <w:rFonts w:hint="eastAsia" w:ascii="楷体" w:hAnsi="楷体" w:eastAsia="楷体" w:cs="楷体"/>
          <w:sz w:val="28"/>
          <w:szCs w:val="28"/>
          <w:lang w:val="en-US" w:eastAsia="zh-CN"/>
        </w:rPr>
        <w:t>26</w:t>
      </w:r>
      <w:r>
        <w:rPr>
          <w:rFonts w:hint="eastAsia" w:ascii="楷体" w:hAnsi="楷体" w:eastAsia="楷体" w:cs="楷体"/>
          <w:sz w:val="28"/>
          <w:szCs w:val="28"/>
        </w:rPr>
        <w:t>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140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10</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7.1</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年加工300吨精密轴承配件项目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w:t>
      </w:r>
      <w:r>
        <w:rPr>
          <w:rFonts w:hint="default" w:ascii="楷体" w:hAnsi="楷体" w:eastAsia="楷体" w:cs="楷体"/>
          <w:sz w:val="28"/>
          <w:szCs w:val="28"/>
          <w:lang w:val="en-US" w:eastAsia="zh-CN"/>
        </w:rPr>
        <w:t>无生产废水</w:t>
      </w:r>
      <w:r>
        <w:rPr>
          <w:rFonts w:hint="eastAsia" w:ascii="楷体" w:hAnsi="楷体" w:eastAsia="楷体" w:cs="楷体"/>
          <w:sz w:val="28"/>
          <w:szCs w:val="28"/>
          <w:lang w:val="en-US" w:eastAsia="zh-CN"/>
        </w:rPr>
        <w:t>；废水主要为生活污水。生活污水</w:t>
      </w:r>
      <w:r>
        <w:rPr>
          <w:rFonts w:hint="default" w:ascii="楷体" w:hAnsi="楷体" w:eastAsia="楷体" w:cs="楷体"/>
          <w:sz w:val="28"/>
          <w:szCs w:val="28"/>
          <w:lang w:val="en-US" w:eastAsia="zh-CN"/>
        </w:rPr>
        <w:t>经</w:t>
      </w:r>
      <w:r>
        <w:rPr>
          <w:rFonts w:hint="eastAsia" w:ascii="楷体" w:hAnsi="楷体" w:eastAsia="楷体" w:cs="楷体"/>
          <w:sz w:val="28"/>
          <w:szCs w:val="28"/>
          <w:lang w:val="en-US" w:eastAsia="zh-CN"/>
        </w:rPr>
        <w:t>化粪池</w:t>
      </w:r>
      <w:r>
        <w:rPr>
          <w:rFonts w:hint="default" w:ascii="楷体" w:hAnsi="楷体" w:eastAsia="楷体" w:cs="楷体"/>
          <w:sz w:val="28"/>
          <w:szCs w:val="28"/>
          <w:lang w:val="en-US" w:eastAsia="zh-CN"/>
        </w:rPr>
        <w:t>清理后定期清掏，</w:t>
      </w:r>
      <w:r>
        <w:rPr>
          <w:rFonts w:hint="eastAsia" w:ascii="楷体" w:hAnsi="楷体" w:eastAsia="楷体" w:cs="楷体"/>
          <w:sz w:val="28"/>
          <w:szCs w:val="28"/>
          <w:lang w:val="en-US" w:eastAsia="zh-CN"/>
        </w:rPr>
        <w:t>不外排</w:t>
      </w:r>
      <w:r>
        <w:rPr>
          <w:rFonts w:hint="default" w:ascii="楷体" w:hAnsi="楷体" w:eastAsia="楷体" w:cs="楷体"/>
          <w:sz w:val="28"/>
          <w:szCs w:val="28"/>
          <w:lang w:val="en-US" w:eastAsia="zh-CN"/>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产生的大气污染物主要为加热过程中产生的烟尘。经加强车间通风后无组织排放。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项目主要噪声源为冲床、车床、电炉、冷却塔等设备产生的噪声，通过将产噪设备布置在车间内，使用隔声门窗，对固定产振设备设置减震机座等有效的降噪措施能达到较好的效果。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本项目产生的固体废物主要为</w:t>
      </w:r>
      <w:r>
        <w:rPr>
          <w:rFonts w:hint="eastAsia" w:ascii="楷体" w:hAnsi="楷体" w:eastAsia="楷体" w:cs="楷体"/>
          <w:kern w:val="2"/>
          <w:sz w:val="28"/>
          <w:szCs w:val="28"/>
          <w:lang w:val="en-US" w:eastAsia="zh-CN" w:bidi="ar-SA"/>
        </w:rPr>
        <w:t>生产工序产生的下脚料，废润滑油、废含油抹布和生活垃圾。其中，生产工序产生的下脚料外售回收单位综合利用，废润滑油委托有处理资质单位妥善处置，含油抹布和生活垃圾收集后委托当地的环卫部门进行处理。</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山东聊和环保科技有限公司出具的《冠县东辉轴承加工厂年加工300吨精密轴承配件项目竣工环境保护验收监测报告》监测结果表明：</w:t>
      </w:r>
    </w:p>
    <w:p>
      <w:pPr>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1.废气</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验收监测期间，无组织颗粒物浓度最高为0.789mg/m</w:t>
      </w:r>
      <w:r>
        <w:rPr>
          <w:rFonts w:hint="eastAsia" w:ascii="楷体" w:hAnsi="楷体" w:eastAsia="楷体" w:cs="楷体"/>
          <w:kern w:val="2"/>
          <w:sz w:val="28"/>
          <w:szCs w:val="28"/>
          <w:vertAlign w:val="superscript"/>
          <w:lang w:val="en-US" w:eastAsia="zh-CN" w:bidi="ar-SA"/>
        </w:rPr>
        <w:t>3</w:t>
      </w:r>
      <w:r>
        <w:rPr>
          <w:rFonts w:hint="eastAsia" w:ascii="楷体" w:hAnsi="楷体" w:eastAsia="楷体" w:cs="楷体"/>
          <w:kern w:val="2"/>
          <w:sz w:val="28"/>
          <w:szCs w:val="28"/>
          <w:lang w:val="en-US" w:eastAsia="zh-CN" w:bidi="ar-SA"/>
        </w:rPr>
        <w:t>，满足《大气污染物综合排放标准》（GB16297-1996）表2中的无组织排放标准要求。</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验收监测期间，厂界四周监测点位昼间噪声在56.8dB(A)-58.4dB(A)之间,符合《工业企业厂界环境噪声排放标准》（GB12348－2008）中的2类标准限值。</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rPr>
        <w:t>3．固体废物</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本项目产生的固体废物主要为</w:t>
      </w:r>
      <w:r>
        <w:rPr>
          <w:rFonts w:hint="eastAsia" w:ascii="楷体" w:hAnsi="楷体" w:eastAsia="楷体" w:cs="楷体"/>
          <w:kern w:val="2"/>
          <w:sz w:val="28"/>
          <w:szCs w:val="28"/>
          <w:lang w:val="en-US" w:eastAsia="zh-CN" w:bidi="ar-SA"/>
        </w:rPr>
        <w:t>生产工序产生的下脚料，废润滑油、废含油抹布和生活垃圾。其中，生产工序产生的下脚料外售回收单位综合利用，废润滑油委托有处理资质单位妥善处置，含油抹布和生活垃圾收集后委托当地的环卫部门进行处理。</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冠县东辉轴承加工厂</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冠县东辉轴承加工厂</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2"/>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加强文本制作质量，审核关于废气检测数据、设备清单、实际投资金额及工艺流程内容，使文本内容真实可靠，进一步完善、核实验收检测报告。</w:t>
      </w:r>
    </w:p>
    <w:p>
      <w:pPr>
        <w:pStyle w:val="2"/>
        <w:numPr>
          <w:ilvl w:val="0"/>
          <w:numId w:val="2"/>
        </w:numPr>
      </w:pPr>
      <w:r>
        <w:rPr>
          <w:rFonts w:hint="eastAsia" w:ascii="楷体" w:hAnsi="楷体" w:eastAsia="楷体" w:cs="楷体"/>
          <w:kern w:val="2"/>
          <w:sz w:val="28"/>
          <w:szCs w:val="28"/>
          <w:lang w:val="en-US" w:eastAsia="zh-CN" w:bidi="ar-SA"/>
        </w:rPr>
        <w:t>冲床下方及周围存在油污现象，应及时清理，保持冲床及周围地面清洁。</w:t>
      </w:r>
    </w:p>
    <w:p>
      <w:pPr>
        <w:pStyle w:val="2"/>
        <w:numPr>
          <w:ilvl w:val="0"/>
          <w:numId w:val="2"/>
        </w:numPr>
      </w:pPr>
      <w:r>
        <w:rPr>
          <w:rFonts w:hint="eastAsia" w:ascii="楷体" w:hAnsi="楷体" w:eastAsia="楷体" w:cs="楷体"/>
          <w:kern w:val="2"/>
          <w:sz w:val="28"/>
          <w:szCs w:val="28"/>
          <w:lang w:val="en-US" w:eastAsia="zh-CN" w:bidi="ar-SA"/>
        </w:rPr>
        <w:t>危废暂存间不规范，危废台账记录内容不完整。</w:t>
      </w:r>
    </w:p>
    <w:p>
      <w:pPr>
        <w:pStyle w:val="9"/>
        <w:numPr>
          <w:ilvl w:val="0"/>
          <w:numId w:val="3"/>
        </w:numPr>
        <w:ind w:firstLine="280" w:firstLineChars="100"/>
        <w:rPr>
          <w:rFonts w:hint="default" w:ascii="楷体" w:hAnsi="楷体" w:eastAsia="楷体" w:cs="楷体"/>
          <w:sz w:val="28"/>
          <w:szCs w:val="28"/>
        </w:rPr>
      </w:pPr>
      <w:r>
        <w:rPr>
          <w:rFonts w:ascii="楷体" w:hAnsi="楷体" w:eastAsia="楷体" w:cs="楷体"/>
          <w:sz w:val="28"/>
          <w:szCs w:val="28"/>
        </w:rPr>
        <w:t>现场整改照片：</w:t>
      </w:r>
    </w:p>
    <w:p>
      <w:pPr>
        <w:spacing w:line="360" w:lineRule="auto"/>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4813300" cy="3609975"/>
            <wp:effectExtent l="0" t="0" r="6350" b="9525"/>
            <wp:docPr id="4" name="图片 4" descr="微信图片_20180801092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80801092612"/>
                    <pic:cNvPicPr>
                      <a:picLocks noChangeAspect="1"/>
                    </pic:cNvPicPr>
                  </pic:nvPicPr>
                  <pic:blipFill>
                    <a:blip r:embed="rId4"/>
                    <a:stretch>
                      <a:fillRect/>
                    </a:stretch>
                  </pic:blipFill>
                  <pic:spPr>
                    <a:xfrm>
                      <a:off x="0" y="0"/>
                      <a:ext cx="4813300" cy="3609975"/>
                    </a:xfrm>
                    <a:prstGeom prst="rect">
                      <a:avLst/>
                    </a:prstGeom>
                  </pic:spPr>
                </pic:pic>
              </a:graphicData>
            </a:graphic>
          </wp:inline>
        </w:drawing>
      </w:r>
      <w:r>
        <w:rPr>
          <w:rFonts w:hint="eastAsia" w:ascii="楷体" w:hAnsi="楷体" w:eastAsia="楷体" w:cs="楷体"/>
          <w:sz w:val="28"/>
          <w:szCs w:val="28"/>
          <w:lang w:eastAsia="zh-CN"/>
        </w:rPr>
        <w:drawing>
          <wp:inline distT="0" distB="0" distL="114300" distR="114300">
            <wp:extent cx="3600450" cy="3962400"/>
            <wp:effectExtent l="0" t="0" r="0" b="0"/>
            <wp:docPr id="3" name="图片 3" descr="微信图片_2018080117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80801171536"/>
                    <pic:cNvPicPr>
                      <a:picLocks noChangeAspect="1"/>
                    </pic:cNvPicPr>
                  </pic:nvPicPr>
                  <pic:blipFill>
                    <a:blip r:embed="rId5"/>
                    <a:stretch>
                      <a:fillRect/>
                    </a:stretch>
                  </pic:blipFill>
                  <pic:spPr>
                    <a:xfrm>
                      <a:off x="0" y="0"/>
                      <a:ext cx="3600450" cy="3962400"/>
                    </a:xfrm>
                    <a:prstGeom prst="rect">
                      <a:avLst/>
                    </a:prstGeom>
                  </pic:spPr>
                </pic:pic>
              </a:graphicData>
            </a:graphic>
          </wp:inline>
        </w:drawing>
      </w:r>
      <w:r>
        <w:rPr>
          <w:rFonts w:hint="eastAsia" w:ascii="楷体" w:hAnsi="楷体" w:eastAsia="楷体" w:cs="楷体"/>
          <w:sz w:val="28"/>
          <w:szCs w:val="28"/>
          <w:lang w:eastAsia="zh-CN"/>
        </w:rPr>
        <w:drawing>
          <wp:inline distT="0" distB="0" distL="114300" distR="114300">
            <wp:extent cx="3115945" cy="4154170"/>
            <wp:effectExtent l="0" t="0" r="8255" b="17780"/>
            <wp:docPr id="2" name="图片 2" descr="微信图片_201808011715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808011715361"/>
                    <pic:cNvPicPr>
                      <a:picLocks noChangeAspect="1"/>
                    </pic:cNvPicPr>
                  </pic:nvPicPr>
                  <pic:blipFill>
                    <a:blip r:embed="rId6"/>
                    <a:stretch>
                      <a:fillRect/>
                    </a:stretch>
                  </pic:blipFill>
                  <pic:spPr>
                    <a:xfrm>
                      <a:off x="0" y="0"/>
                      <a:ext cx="3115945" cy="4154170"/>
                    </a:xfrm>
                    <a:prstGeom prst="rect">
                      <a:avLst/>
                    </a:prstGeom>
                  </pic:spPr>
                </pic:pic>
              </a:graphicData>
            </a:graphic>
          </wp:inline>
        </w:drawing>
      </w:r>
      <w:r>
        <w:rPr>
          <w:rFonts w:hint="eastAsia" w:ascii="楷体" w:hAnsi="楷体" w:eastAsia="楷体" w:cs="楷体"/>
          <w:sz w:val="28"/>
          <w:szCs w:val="28"/>
          <w:lang w:eastAsia="zh-CN"/>
        </w:rPr>
        <w:drawing>
          <wp:inline distT="0" distB="0" distL="114300" distR="114300">
            <wp:extent cx="4191000" cy="5588000"/>
            <wp:effectExtent l="0" t="0" r="0" b="12700"/>
            <wp:docPr id="1" name="图片 1" descr="微信图片_201808011715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808011715362"/>
                    <pic:cNvPicPr>
                      <a:picLocks noChangeAspect="1"/>
                    </pic:cNvPicPr>
                  </pic:nvPicPr>
                  <pic:blipFill>
                    <a:blip r:embed="rId7"/>
                    <a:stretch>
                      <a:fillRect/>
                    </a:stretch>
                  </pic:blipFill>
                  <pic:spPr>
                    <a:xfrm>
                      <a:off x="0" y="0"/>
                      <a:ext cx="4191000" cy="5588000"/>
                    </a:xfrm>
                    <a:prstGeom prst="rect">
                      <a:avLst/>
                    </a:prstGeom>
                  </pic:spPr>
                </pic:pic>
              </a:graphicData>
            </a:graphic>
          </wp:inline>
        </w:drawing>
      </w: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9"/>
      </w:pPr>
      <w:bookmarkStart w:id="0" w:name="_GoBack"/>
      <w:bookmarkEnd w:id="0"/>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eastAsia="zh-CN"/>
        </w:rPr>
        <w:t>冠县东辉轴承加工厂</w:t>
      </w:r>
      <w:r>
        <w:rPr>
          <w:rFonts w:hint="eastAsia" w:ascii="楷体" w:hAnsi="楷体" w:eastAsia="楷体" w:cs="楷体"/>
          <w:sz w:val="28"/>
          <w:szCs w:val="28"/>
        </w:rPr>
        <w:t>验收组</w:t>
      </w:r>
    </w:p>
    <w:p>
      <w:pPr>
        <w:spacing w:line="360" w:lineRule="auto"/>
        <w:jc w:val="right"/>
      </w:pP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30</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1">
    <w:nsid w:val="46AAAAD9"/>
    <w:multiLevelType w:val="singleLevel"/>
    <w:tmpl w:val="46AAAAD9"/>
    <w:lvl w:ilvl="0" w:tentative="0">
      <w:start w:val="1"/>
      <w:numFmt w:val="decimal"/>
      <w:suff w:val="nothing"/>
      <w:lvlText w:val="%1、"/>
      <w:lvlJc w:val="left"/>
    </w:lvl>
  </w:abstractNum>
  <w:abstractNum w:abstractNumId="2">
    <w:nsid w:val="5B0E1076"/>
    <w:multiLevelType w:val="singleLevel"/>
    <w:tmpl w:val="5B0E1076"/>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C63CC0"/>
    <w:rsid w:val="1887595F"/>
    <w:rsid w:val="188E2022"/>
    <w:rsid w:val="1A1158EF"/>
    <w:rsid w:val="1B5934FA"/>
    <w:rsid w:val="1EB23C92"/>
    <w:rsid w:val="2F45678C"/>
    <w:rsid w:val="304D4A12"/>
    <w:rsid w:val="3398641F"/>
    <w:rsid w:val="3BA24A74"/>
    <w:rsid w:val="3C9D29D7"/>
    <w:rsid w:val="3E407687"/>
    <w:rsid w:val="3E5C226F"/>
    <w:rsid w:val="40516DBF"/>
    <w:rsid w:val="49387C4F"/>
    <w:rsid w:val="4F63461C"/>
    <w:rsid w:val="55424CCC"/>
    <w:rsid w:val="5C687BD7"/>
    <w:rsid w:val="5D0B3D4A"/>
    <w:rsid w:val="64D951B9"/>
    <w:rsid w:val="6C935275"/>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1</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2018-08-02T06:17:15Z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