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ind w:left="298" w:leftChars="142"/>
        <w:jc w:val="center"/>
        <w:rPr>
          <w:rFonts w:ascii="楷体_GB2312" w:eastAsia="楷体_GB2312"/>
          <w:b/>
          <w:sz w:val="28"/>
          <w:szCs w:val="28"/>
        </w:rPr>
      </w:pPr>
      <w:r>
        <w:rPr>
          <w:rFonts w:hint="eastAsia" w:ascii="楷体_GB2312" w:eastAsia="楷体_GB2312"/>
          <w:b/>
          <w:sz w:val="28"/>
          <w:szCs w:val="28"/>
          <w:lang w:eastAsia="zh-CN"/>
        </w:rPr>
        <w:t>山东大崑电机有限公司年产2600台电机及1000吨定转子项目</w:t>
      </w:r>
      <w:r>
        <w:rPr>
          <w:rFonts w:hint="eastAsia" w:ascii="楷体_GB2312" w:eastAsia="楷体_GB2312"/>
          <w:b/>
          <w:sz w:val="28"/>
          <w:szCs w:val="28"/>
        </w:rPr>
        <w:t xml:space="preserve"> </w:t>
      </w:r>
    </w:p>
    <w:p>
      <w:pPr>
        <w:tabs>
          <w:tab w:val="left" w:pos="360"/>
        </w:tabs>
        <w:ind w:left="298" w:leftChars="142"/>
        <w:jc w:val="center"/>
        <w:rPr>
          <w:rFonts w:ascii="楷体_GB2312" w:eastAsia="楷体_GB2312"/>
          <w:b/>
          <w:sz w:val="30"/>
          <w:szCs w:val="30"/>
        </w:rPr>
      </w:pPr>
      <w:r>
        <w:rPr>
          <w:rFonts w:hint="eastAsia" w:ascii="楷体_GB2312" w:eastAsia="楷体_GB2312"/>
          <w:b/>
          <w:sz w:val="28"/>
          <w:szCs w:val="28"/>
        </w:rPr>
        <w:t>竣工环境保护验收现场检查及验收工作组验收意见</w:t>
      </w:r>
    </w:p>
    <w:p>
      <w:pPr>
        <w:tabs>
          <w:tab w:val="left" w:pos="360"/>
        </w:tabs>
        <w:spacing w:line="360" w:lineRule="auto"/>
        <w:ind w:left="298" w:leftChars="142"/>
        <w:jc w:val="left"/>
        <w:rPr>
          <w:rFonts w:ascii="楷体" w:hAnsi="楷体" w:eastAsia="楷体" w:cs="楷体"/>
          <w:sz w:val="28"/>
          <w:szCs w:val="28"/>
        </w:rPr>
      </w:pPr>
      <w:r>
        <w:rPr>
          <w:rFonts w:ascii="楷体_GB2312" w:hAnsi="宋体" w:eastAsia="楷体_GB2312"/>
          <w:sz w:val="28"/>
          <w:szCs w:val="28"/>
        </w:rPr>
        <w:t xml:space="preserve">  </w:t>
      </w:r>
      <w:r>
        <w:rPr>
          <w:rFonts w:hint="eastAsia" w:ascii="楷体" w:hAnsi="楷体" w:eastAsia="楷体" w:cs="楷体"/>
          <w:sz w:val="28"/>
          <w:szCs w:val="28"/>
        </w:rPr>
        <w:t xml:space="preserve">   2018年7月</w:t>
      </w:r>
      <w:r>
        <w:rPr>
          <w:rFonts w:hint="eastAsia" w:ascii="楷体" w:hAnsi="楷体" w:eastAsia="楷体" w:cs="楷体"/>
          <w:sz w:val="28"/>
          <w:szCs w:val="28"/>
          <w:lang w:val="en-US" w:eastAsia="zh-CN"/>
        </w:rPr>
        <w:t>29</w:t>
      </w:r>
      <w:r>
        <w:rPr>
          <w:rFonts w:hint="eastAsia" w:ascii="楷体" w:hAnsi="楷体" w:eastAsia="楷体" w:cs="楷体"/>
          <w:sz w:val="28"/>
          <w:szCs w:val="28"/>
        </w:rPr>
        <w:t>日，</w:t>
      </w:r>
      <w:r>
        <w:rPr>
          <w:rFonts w:hint="eastAsia" w:ascii="楷体" w:hAnsi="楷体" w:eastAsia="楷体" w:cs="楷体"/>
          <w:sz w:val="28"/>
          <w:szCs w:val="28"/>
          <w:lang w:eastAsia="zh-CN"/>
        </w:rPr>
        <w:t>山东大崑电机有限公司</w:t>
      </w:r>
      <w:r>
        <w:rPr>
          <w:rFonts w:hint="eastAsia" w:ascii="楷体" w:hAnsi="楷体" w:eastAsia="楷体" w:cs="楷体"/>
          <w:sz w:val="28"/>
          <w:szCs w:val="28"/>
        </w:rPr>
        <w:t>组织召开公司</w:t>
      </w:r>
      <w:r>
        <w:rPr>
          <w:rFonts w:hint="eastAsia" w:ascii="楷体" w:hAnsi="楷体" w:eastAsia="楷体" w:cs="楷体"/>
          <w:sz w:val="28"/>
          <w:szCs w:val="28"/>
          <w:lang w:eastAsia="zh-CN"/>
        </w:rPr>
        <w:t>年产2600台电机及1000吨定转子项目</w:t>
      </w:r>
      <w:r>
        <w:rPr>
          <w:rFonts w:hint="eastAsia" w:ascii="楷体" w:hAnsi="楷体" w:eastAsia="楷体" w:cs="楷体"/>
          <w:sz w:val="28"/>
          <w:szCs w:val="28"/>
        </w:rPr>
        <w:t>竣工环境保护验收现场检查及验收会。验收工作组由工程建设单位（</w:t>
      </w:r>
      <w:r>
        <w:rPr>
          <w:rFonts w:hint="eastAsia" w:ascii="楷体" w:hAnsi="楷体" w:eastAsia="楷体" w:cs="楷体"/>
          <w:sz w:val="28"/>
          <w:szCs w:val="28"/>
          <w:lang w:eastAsia="zh-CN"/>
        </w:rPr>
        <w:t>山东大崑电机有限公司</w:t>
      </w:r>
      <w:r>
        <w:rPr>
          <w:rFonts w:hint="eastAsia" w:ascii="楷体" w:hAnsi="楷体" w:eastAsia="楷体" w:cs="楷体"/>
          <w:sz w:val="28"/>
          <w:szCs w:val="28"/>
        </w:rPr>
        <w:t>）、监测单位（</w:t>
      </w:r>
      <w:r>
        <w:rPr>
          <w:rFonts w:hint="eastAsia" w:ascii="楷体" w:hAnsi="楷体" w:eastAsia="楷体" w:cs="楷体"/>
          <w:sz w:val="28"/>
          <w:szCs w:val="28"/>
          <w:lang w:eastAsia="zh-CN"/>
        </w:rPr>
        <w:t>聊城市环境科学工程设计院环境检测中心</w:t>
      </w:r>
      <w:r>
        <w:rPr>
          <w:rFonts w:hint="eastAsia" w:ascii="楷体" w:hAnsi="楷体" w:eastAsia="楷体" w:cs="楷体"/>
          <w:sz w:val="28"/>
          <w:szCs w:val="28"/>
        </w:rPr>
        <w:t>）并特邀3名技术专家（名单附后）组成。</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一、工程建设基本情况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（一）建设地点、规模、主要建设内容</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项目建设地点位</w:t>
      </w:r>
      <w:r>
        <w:rPr>
          <w:rFonts w:hint="eastAsia" w:ascii="楷体" w:hAnsi="楷体" w:eastAsia="楷体" w:cs="楷体"/>
          <w:sz w:val="28"/>
          <w:szCs w:val="28"/>
          <w:lang w:eastAsia="zh-CN"/>
        </w:rPr>
        <w:t>于临清市先锋街道办事处胡八里。</w:t>
      </w:r>
      <w:r>
        <w:rPr>
          <w:rFonts w:hint="eastAsia" w:ascii="楷体" w:hAnsi="楷体" w:eastAsia="楷体" w:cs="楷体"/>
          <w:sz w:val="28"/>
          <w:szCs w:val="28"/>
        </w:rPr>
        <w:t>主要为</w:t>
      </w:r>
      <w:r>
        <w:rPr>
          <w:rFonts w:hint="eastAsia" w:ascii="楷体" w:hAnsi="楷体" w:eastAsia="楷体" w:cs="楷体"/>
          <w:sz w:val="28"/>
          <w:szCs w:val="28"/>
          <w:lang w:eastAsia="zh-CN"/>
        </w:rPr>
        <w:t>年产2600台电机及1000吨定转子项目</w:t>
      </w:r>
      <w:r>
        <w:rPr>
          <w:rFonts w:hint="eastAsia" w:ascii="楷体" w:hAnsi="楷体" w:eastAsia="楷体" w:cs="楷体"/>
          <w:sz w:val="28"/>
          <w:szCs w:val="28"/>
        </w:rPr>
        <w:t>，总投资1994.71万元，占地面积1994.71m</w:t>
      </w:r>
      <w:r>
        <w:rPr>
          <w:rFonts w:hint="eastAsia" w:ascii="楷体" w:hAnsi="楷体" w:eastAsia="楷体" w:cs="楷体"/>
          <w:sz w:val="28"/>
          <w:szCs w:val="28"/>
          <w:vertAlign w:val="superscript"/>
        </w:rPr>
        <w:t>2</w:t>
      </w:r>
      <w:r>
        <w:rPr>
          <w:rFonts w:hint="eastAsia" w:ascii="楷体" w:hAnsi="楷体" w:eastAsia="楷体" w:cs="楷体"/>
          <w:sz w:val="28"/>
          <w:szCs w:val="28"/>
        </w:rPr>
        <w:t>，购置</w:t>
      </w:r>
      <w:r>
        <w:rPr>
          <w:rFonts w:hint="eastAsia" w:ascii="楷体" w:hAnsi="楷体" w:eastAsia="楷体" w:cs="楷体"/>
          <w:sz w:val="28"/>
          <w:szCs w:val="28"/>
          <w:lang w:eastAsia="zh-CN"/>
        </w:rPr>
        <w:t>车床、锯床、磨床、压力机</w:t>
      </w:r>
      <w:r>
        <w:rPr>
          <w:rFonts w:hint="eastAsia" w:ascii="楷体" w:hAnsi="楷体" w:eastAsia="楷体" w:cs="楷体"/>
          <w:sz w:val="28"/>
          <w:szCs w:val="28"/>
        </w:rPr>
        <w:t>等加工设备。</w:t>
      </w:r>
    </w:p>
    <w:p>
      <w:pPr>
        <w:tabs>
          <w:tab w:val="left" w:pos="360"/>
        </w:tabs>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（二）环保审批情况</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山东大崑电机有限公司</w:t>
      </w:r>
      <w:r>
        <w:rPr>
          <w:rFonts w:hint="eastAsia" w:ascii="楷体" w:hAnsi="楷体" w:eastAsia="楷体" w:cs="楷体"/>
          <w:sz w:val="28"/>
          <w:szCs w:val="28"/>
          <w:lang w:val="en-US" w:eastAsia="zh-CN"/>
        </w:rPr>
        <w:t>2017年11月委托聊城市环境科学工程设计院有限公司编制完成了《</w:t>
      </w:r>
      <w:r>
        <w:rPr>
          <w:rFonts w:hint="eastAsia" w:ascii="楷体" w:hAnsi="楷体" w:eastAsia="楷体" w:cs="楷体"/>
          <w:sz w:val="28"/>
          <w:szCs w:val="28"/>
          <w:lang w:eastAsia="zh-CN"/>
        </w:rPr>
        <w:t>山东大崑电机有限公司年产2600台电机及1000吨定转子项目</w:t>
      </w:r>
      <w:r>
        <w:rPr>
          <w:rFonts w:hint="eastAsia" w:ascii="楷体" w:hAnsi="楷体" w:eastAsia="楷体" w:cs="楷体"/>
          <w:sz w:val="28"/>
          <w:szCs w:val="28"/>
          <w:lang w:val="en-US" w:eastAsia="zh-CN"/>
        </w:rPr>
        <w:t>项目环境影响报告表》，2017年12月11日临清市环境保护局以临环审[2017]654号文对该项目进行了批复。</w:t>
      </w:r>
    </w:p>
    <w:p>
      <w:pPr>
        <w:tabs>
          <w:tab w:val="left" w:pos="360"/>
        </w:tabs>
        <w:spacing w:line="360" w:lineRule="auto"/>
        <w:ind w:left="298" w:leftChars="142" w:firstLine="560" w:firstLineChars="200"/>
        <w:jc w:val="left"/>
        <w:rPr>
          <w:rFonts w:hint="eastAsia" w:ascii="楷体" w:hAnsi="楷体" w:eastAsia="楷体" w:cs="楷体"/>
          <w:sz w:val="28"/>
          <w:szCs w:val="28"/>
        </w:rPr>
      </w:pPr>
      <w:r>
        <w:rPr>
          <w:rFonts w:hint="eastAsia" w:ascii="楷体" w:hAnsi="楷体" w:eastAsia="楷体" w:cs="楷体"/>
          <w:sz w:val="28"/>
          <w:szCs w:val="28"/>
        </w:rPr>
        <w:t>2018年</w:t>
      </w:r>
      <w:r>
        <w:rPr>
          <w:rFonts w:hint="eastAsia" w:ascii="楷体" w:hAnsi="楷体" w:eastAsia="楷体" w:cs="楷体"/>
          <w:sz w:val="28"/>
          <w:szCs w:val="28"/>
          <w:lang w:val="en-US" w:eastAsia="zh-CN"/>
        </w:rPr>
        <w:t>3</w:t>
      </w:r>
      <w:r>
        <w:rPr>
          <w:rFonts w:hint="eastAsia" w:ascii="楷体" w:hAnsi="楷体" w:eastAsia="楷体" w:cs="楷体"/>
          <w:sz w:val="28"/>
          <w:szCs w:val="28"/>
        </w:rPr>
        <w:t>月份公司委托</w:t>
      </w:r>
      <w:r>
        <w:rPr>
          <w:rFonts w:hint="eastAsia" w:ascii="楷体" w:hAnsi="楷体" w:eastAsia="楷体" w:cs="楷体"/>
          <w:sz w:val="28"/>
          <w:szCs w:val="28"/>
          <w:lang w:eastAsia="zh-CN"/>
        </w:rPr>
        <w:t>聊城市环境科学工程设计院环境检测中心</w:t>
      </w:r>
      <w:r>
        <w:rPr>
          <w:rFonts w:hint="eastAsia" w:ascii="楷体" w:hAnsi="楷体" w:eastAsia="楷体" w:cs="楷体"/>
          <w:sz w:val="28"/>
          <w:szCs w:val="28"/>
        </w:rPr>
        <w:t>进行该项目的环保验收监测工作，接受委托后</w:t>
      </w:r>
      <w:r>
        <w:rPr>
          <w:rFonts w:hint="eastAsia" w:ascii="楷体" w:hAnsi="楷体" w:eastAsia="楷体" w:cs="楷体"/>
          <w:sz w:val="28"/>
          <w:szCs w:val="28"/>
          <w:lang w:eastAsia="zh-CN"/>
        </w:rPr>
        <w:t>聊城市环境科学工程设计院环境检测中心</w:t>
      </w:r>
      <w:r>
        <w:rPr>
          <w:rFonts w:hint="eastAsia" w:ascii="楷体" w:hAnsi="楷体" w:eastAsia="楷体" w:cs="楷体"/>
          <w:sz w:val="28"/>
          <w:szCs w:val="28"/>
        </w:rPr>
        <w:t>组织有关技术人员进行现场踏勘，依据监测技术规范制定了环保验收监测方案，并于2018年</w:t>
      </w:r>
      <w:r>
        <w:rPr>
          <w:rFonts w:hint="eastAsia" w:ascii="楷体" w:hAnsi="楷体" w:eastAsia="楷体" w:cs="楷体"/>
          <w:sz w:val="28"/>
          <w:szCs w:val="28"/>
          <w:lang w:val="en-US" w:eastAsia="zh-CN"/>
        </w:rPr>
        <w:t>3</w:t>
      </w:r>
      <w:r>
        <w:rPr>
          <w:rFonts w:hint="eastAsia" w:ascii="楷体" w:hAnsi="楷体" w:eastAsia="楷体" w:cs="楷体"/>
          <w:sz w:val="28"/>
          <w:szCs w:val="28"/>
        </w:rPr>
        <w:t>月</w:t>
      </w:r>
      <w:r>
        <w:rPr>
          <w:rFonts w:hint="eastAsia" w:ascii="楷体" w:hAnsi="楷体" w:eastAsia="楷体" w:cs="楷体"/>
          <w:sz w:val="28"/>
          <w:szCs w:val="28"/>
          <w:lang w:val="en-US" w:eastAsia="zh-CN"/>
        </w:rPr>
        <w:t>26</w:t>
      </w:r>
      <w:r>
        <w:rPr>
          <w:rFonts w:hint="eastAsia" w:ascii="楷体" w:hAnsi="楷体" w:eastAsia="楷体" w:cs="楷体"/>
          <w:sz w:val="28"/>
          <w:szCs w:val="28"/>
        </w:rPr>
        <w:t>日</w:t>
      </w:r>
      <w:r>
        <w:rPr>
          <w:rFonts w:hint="eastAsia" w:ascii="楷体" w:hAnsi="楷体" w:eastAsia="楷体" w:cs="楷体"/>
          <w:sz w:val="28"/>
          <w:szCs w:val="28"/>
          <w:lang w:eastAsia="zh-CN"/>
        </w:rPr>
        <w:t>和</w:t>
      </w:r>
      <w:r>
        <w:rPr>
          <w:rFonts w:hint="eastAsia" w:ascii="楷体" w:hAnsi="楷体" w:eastAsia="楷体" w:cs="楷体"/>
          <w:sz w:val="28"/>
          <w:szCs w:val="28"/>
          <w:lang w:val="en-US" w:eastAsia="zh-CN"/>
        </w:rPr>
        <w:t>27</w:t>
      </w:r>
      <w:r>
        <w:rPr>
          <w:rFonts w:hint="eastAsia" w:ascii="楷体" w:hAnsi="楷体" w:eastAsia="楷体" w:cs="楷体"/>
          <w:sz w:val="28"/>
          <w:szCs w:val="28"/>
        </w:rPr>
        <w:t>日对厂区有关污染源进行了监测，根据验收监测结果和现场检查情况编制了本项目验收监测报告。</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（三）投资情况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项目实际总投资</w:t>
      </w:r>
      <w:r>
        <w:rPr>
          <w:rFonts w:hint="eastAsia" w:ascii="楷体" w:hAnsi="楷体" w:eastAsia="楷体" w:cs="楷体"/>
          <w:sz w:val="28"/>
          <w:szCs w:val="28"/>
          <w:lang w:val="en-US" w:eastAsia="zh-CN"/>
        </w:rPr>
        <w:t>1994.71</w:t>
      </w:r>
      <w:r>
        <w:rPr>
          <w:rFonts w:hint="eastAsia" w:ascii="楷体" w:hAnsi="楷体" w:eastAsia="楷体" w:cs="楷体"/>
          <w:sz w:val="28"/>
          <w:szCs w:val="28"/>
        </w:rPr>
        <w:t>万元，其中环保投资</w:t>
      </w:r>
      <w:r>
        <w:rPr>
          <w:rFonts w:hint="eastAsia" w:ascii="楷体" w:hAnsi="楷体" w:eastAsia="楷体" w:cs="楷体"/>
          <w:sz w:val="28"/>
          <w:szCs w:val="28"/>
          <w:lang w:val="en-US" w:eastAsia="zh-CN"/>
        </w:rPr>
        <w:t>20</w:t>
      </w:r>
      <w:r>
        <w:rPr>
          <w:rFonts w:hint="eastAsia" w:ascii="楷体" w:hAnsi="楷体" w:eastAsia="楷体" w:cs="楷体"/>
          <w:sz w:val="28"/>
          <w:szCs w:val="28"/>
        </w:rPr>
        <w:t>万元。占总投资</w:t>
      </w:r>
      <w:r>
        <w:rPr>
          <w:rFonts w:hint="eastAsia" w:ascii="楷体" w:hAnsi="楷体" w:eastAsia="楷体" w:cs="楷体"/>
          <w:sz w:val="28"/>
          <w:szCs w:val="28"/>
          <w:lang w:val="en-US" w:eastAsia="zh-CN"/>
        </w:rPr>
        <w:t>1</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（四）验收范围</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本次验收的范围为</w:t>
      </w:r>
      <w:r>
        <w:rPr>
          <w:rFonts w:hint="eastAsia" w:ascii="楷体" w:hAnsi="楷体" w:eastAsia="楷体" w:cs="楷体"/>
          <w:sz w:val="28"/>
          <w:szCs w:val="28"/>
          <w:lang w:eastAsia="zh-CN"/>
        </w:rPr>
        <w:t>年产2600台电机及1000吨定转子项目</w:t>
      </w:r>
      <w:r>
        <w:rPr>
          <w:rFonts w:hint="eastAsia" w:ascii="楷体" w:hAnsi="楷体" w:eastAsia="楷体" w:cs="楷体"/>
          <w:sz w:val="28"/>
          <w:szCs w:val="28"/>
        </w:rPr>
        <w:t>及其配套环保设施。</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二、工程变更情况</w:t>
      </w:r>
    </w:p>
    <w:p>
      <w:pPr>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经现场验收核查，本项目较环评及环评批复基本没有变化，未发生重大变动。</w:t>
      </w:r>
    </w:p>
    <w:p>
      <w:pPr>
        <w:pStyle w:val="13"/>
        <w:numPr>
          <w:ilvl w:val="0"/>
          <w:numId w:val="1"/>
        </w:numPr>
        <w:spacing w:line="360" w:lineRule="auto"/>
        <w:ind w:firstLineChars="0"/>
        <w:jc w:val="left"/>
        <w:rPr>
          <w:rFonts w:ascii="楷体" w:hAnsi="楷体" w:eastAsia="楷体" w:cs="楷体"/>
          <w:sz w:val="28"/>
          <w:szCs w:val="28"/>
        </w:rPr>
      </w:pPr>
      <w:r>
        <w:rPr>
          <w:rFonts w:hint="eastAsia" w:ascii="楷体" w:hAnsi="楷体" w:eastAsia="楷体" w:cs="楷体"/>
          <w:sz w:val="28"/>
          <w:szCs w:val="28"/>
        </w:rPr>
        <w:t>环境保护设施落实情况</w:t>
      </w:r>
    </w:p>
    <w:p>
      <w:pPr>
        <w:pStyle w:val="13"/>
        <w:spacing w:beforeLines="50" w:line="360" w:lineRule="auto"/>
        <w:ind w:left="141" w:leftChars="67" w:firstLine="280" w:firstLineChars="100"/>
        <w:rPr>
          <w:rFonts w:ascii="楷体" w:hAnsi="楷体" w:eastAsia="楷体" w:cs="楷体"/>
          <w:sz w:val="28"/>
          <w:szCs w:val="28"/>
        </w:rPr>
      </w:pPr>
      <w:r>
        <w:rPr>
          <w:rFonts w:hint="eastAsia" w:ascii="楷体" w:hAnsi="楷体" w:eastAsia="楷体" w:cs="楷体"/>
          <w:sz w:val="28"/>
          <w:szCs w:val="28"/>
        </w:rPr>
        <w:t>（一）废水污染源及其治理措施</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本项目废水主要为生活废水，经收集后排入环保厕所，定期清理，外运堆肥，不外排。</w:t>
      </w:r>
    </w:p>
    <w:p>
      <w:pPr>
        <w:widowControl/>
        <w:spacing w:line="360" w:lineRule="auto"/>
        <w:ind w:firstLine="420" w:firstLineChars="150"/>
        <w:jc w:val="left"/>
        <w:rPr>
          <w:rFonts w:hint="eastAsia" w:ascii="楷体" w:hAnsi="楷体" w:eastAsia="楷体" w:cs="楷体"/>
          <w:sz w:val="28"/>
          <w:szCs w:val="28"/>
          <w:lang w:eastAsia="zh-CN"/>
        </w:rPr>
      </w:pPr>
      <w:r>
        <w:rPr>
          <w:rFonts w:hint="eastAsia" w:ascii="楷体" w:hAnsi="楷体" w:eastAsia="楷体" w:cs="楷体"/>
          <w:sz w:val="28"/>
          <w:szCs w:val="28"/>
        </w:rPr>
        <w:t>（二）废气污染源及其治理措施</w:t>
      </w:r>
    </w:p>
    <w:p>
      <w:pPr>
        <w:widowControl/>
        <w:spacing w:line="360" w:lineRule="auto"/>
        <w:ind w:firstLine="420" w:firstLineChars="150"/>
        <w:jc w:val="left"/>
        <w:rPr>
          <w:rFonts w:hint="eastAsia" w:ascii="楷体" w:hAnsi="楷体" w:eastAsia="楷体" w:cs="楷体"/>
          <w:sz w:val="28"/>
          <w:szCs w:val="28"/>
          <w:lang w:eastAsia="zh-CN"/>
        </w:rPr>
      </w:pPr>
      <w:r>
        <w:rPr>
          <w:rFonts w:hint="eastAsia" w:ascii="楷体" w:hAnsi="楷体" w:eastAsia="楷体" w:cs="楷体"/>
          <w:sz w:val="28"/>
          <w:szCs w:val="28"/>
        </w:rPr>
        <w:t>项目废气主要是浸漆及烘干废气、喷漆及晾干废气、转子成型废气。浸漆以及烘干过程中产生</w:t>
      </w:r>
      <w:r>
        <w:rPr>
          <w:rFonts w:hint="eastAsia" w:ascii="楷体" w:hAnsi="楷体" w:eastAsia="楷体" w:cs="楷体"/>
          <w:sz w:val="28"/>
          <w:szCs w:val="28"/>
          <w:lang w:eastAsia="zh-CN"/>
        </w:rPr>
        <w:t>苯乙烯、二甲苯</w:t>
      </w:r>
      <w:r>
        <w:rPr>
          <w:rFonts w:hint="eastAsia" w:ascii="楷体" w:hAnsi="楷体" w:eastAsia="楷体" w:cs="楷体"/>
          <w:sz w:val="28"/>
          <w:szCs w:val="28"/>
        </w:rPr>
        <w:t>设侧吸和顶吸集气罩，</w:t>
      </w:r>
      <w:r>
        <w:rPr>
          <w:rFonts w:hint="eastAsia" w:ascii="楷体" w:hAnsi="楷体" w:eastAsia="楷体" w:cs="楷体"/>
          <w:sz w:val="28"/>
          <w:szCs w:val="28"/>
          <w:lang w:eastAsia="zh-CN"/>
        </w:rPr>
        <w:t>经</w:t>
      </w:r>
      <w:r>
        <w:rPr>
          <w:rFonts w:hint="eastAsia" w:ascii="楷体" w:hAnsi="楷体" w:eastAsia="楷体" w:cs="楷体"/>
          <w:sz w:val="28"/>
          <w:szCs w:val="28"/>
        </w:rPr>
        <w:t>收集后</w:t>
      </w:r>
      <w:r>
        <w:rPr>
          <w:rFonts w:hint="eastAsia" w:ascii="楷体" w:hAnsi="楷体" w:eastAsia="楷体" w:cs="楷体"/>
          <w:sz w:val="28"/>
          <w:szCs w:val="28"/>
          <w:lang w:eastAsia="zh-CN"/>
        </w:rPr>
        <w:t>通过等</w:t>
      </w:r>
      <w:r>
        <w:rPr>
          <w:rFonts w:hint="eastAsia" w:ascii="楷体" w:hAnsi="楷体" w:eastAsia="楷体" w:cs="楷体"/>
          <w:sz w:val="28"/>
          <w:szCs w:val="28"/>
        </w:rPr>
        <w:t>离子光氧一体机净化处理，处理后的废气经15m高的排气筒排放</w:t>
      </w:r>
      <w:r>
        <w:rPr>
          <w:rFonts w:hint="eastAsia" w:ascii="楷体" w:hAnsi="楷体" w:eastAsia="楷体" w:cs="楷体"/>
          <w:sz w:val="28"/>
          <w:szCs w:val="28"/>
          <w:lang w:val="en-US" w:eastAsia="zh-CN"/>
        </w:rPr>
        <w:t>；</w:t>
      </w:r>
      <w:r>
        <w:rPr>
          <w:rFonts w:hint="eastAsia" w:ascii="楷体" w:hAnsi="楷体" w:eastAsia="楷体" w:cs="楷体"/>
          <w:sz w:val="28"/>
          <w:szCs w:val="28"/>
        </w:rPr>
        <w:t>喷漆及晾干废气均在密闭的喷漆房内进行</w:t>
      </w:r>
      <w:r>
        <w:rPr>
          <w:rFonts w:hint="eastAsia" w:ascii="楷体" w:hAnsi="楷体" w:eastAsia="楷体" w:cs="楷体"/>
          <w:sz w:val="28"/>
          <w:szCs w:val="28"/>
          <w:lang w:eastAsia="zh-CN"/>
        </w:rPr>
        <w:t>，</w:t>
      </w:r>
      <w:r>
        <w:rPr>
          <w:rFonts w:hint="eastAsia" w:ascii="楷体" w:hAnsi="楷体" w:eastAsia="楷体" w:cs="楷体"/>
          <w:sz w:val="28"/>
          <w:szCs w:val="28"/>
        </w:rPr>
        <w:t>项目产生的</w:t>
      </w:r>
      <w:r>
        <w:rPr>
          <w:rFonts w:hint="eastAsia" w:ascii="楷体" w:hAnsi="楷体" w:eastAsia="楷体" w:cs="楷体"/>
          <w:sz w:val="28"/>
          <w:szCs w:val="28"/>
          <w:lang w:eastAsia="zh-CN"/>
        </w:rPr>
        <w:t>二甲苯、</w:t>
      </w:r>
      <w:r>
        <w:rPr>
          <w:rFonts w:hint="eastAsia" w:ascii="楷体" w:hAnsi="楷体" w:eastAsia="楷体" w:cs="楷体"/>
          <w:sz w:val="28"/>
          <w:szCs w:val="28"/>
          <w:lang w:val="en-US" w:eastAsia="zh-CN"/>
        </w:rPr>
        <w:t>VOCs（以非甲烷总烃计）、漆雾颗粒物</w:t>
      </w:r>
      <w:r>
        <w:rPr>
          <w:rFonts w:hint="eastAsia" w:ascii="楷体" w:hAnsi="楷体" w:eastAsia="楷体" w:cs="楷体"/>
          <w:sz w:val="28"/>
          <w:szCs w:val="28"/>
        </w:rPr>
        <w:t>经集气管道收集后经</w:t>
      </w:r>
      <w:r>
        <w:rPr>
          <w:rFonts w:hint="eastAsia" w:ascii="楷体" w:hAnsi="楷体" w:eastAsia="楷体" w:cs="楷体"/>
          <w:sz w:val="28"/>
          <w:szCs w:val="28"/>
          <w:lang w:eastAsia="zh-CN"/>
        </w:rPr>
        <w:t>集气管道</w:t>
      </w:r>
      <w:r>
        <w:rPr>
          <w:rFonts w:hint="eastAsia" w:ascii="楷体" w:hAnsi="楷体" w:eastAsia="楷体" w:cs="楷体"/>
          <w:sz w:val="28"/>
          <w:szCs w:val="28"/>
          <w:lang w:val="en-US" w:eastAsia="zh-CN"/>
        </w:rPr>
        <w:t>+水帘+过滤棉+</w:t>
      </w:r>
      <w:r>
        <w:rPr>
          <w:rFonts w:hint="eastAsia" w:ascii="楷体" w:hAnsi="楷体" w:eastAsia="楷体" w:cs="楷体"/>
          <w:sz w:val="28"/>
          <w:szCs w:val="28"/>
        </w:rPr>
        <w:t>等离子光氧一体机净化处理</w:t>
      </w:r>
      <w:r>
        <w:rPr>
          <w:rFonts w:hint="eastAsia" w:ascii="楷体" w:hAnsi="楷体" w:eastAsia="楷体" w:cs="楷体"/>
          <w:sz w:val="28"/>
          <w:szCs w:val="28"/>
          <w:lang w:eastAsia="zh-CN"/>
        </w:rPr>
        <w:t>后</w:t>
      </w:r>
      <w:r>
        <w:rPr>
          <w:rFonts w:hint="eastAsia" w:ascii="楷体" w:hAnsi="楷体" w:eastAsia="楷体" w:cs="楷体"/>
          <w:sz w:val="28"/>
          <w:szCs w:val="28"/>
        </w:rPr>
        <w:t>经一根15m高排气筒排放</w:t>
      </w:r>
      <w:r>
        <w:rPr>
          <w:rFonts w:hint="eastAsia" w:ascii="楷体" w:hAnsi="楷体" w:eastAsia="楷体" w:cs="楷体"/>
          <w:sz w:val="28"/>
          <w:szCs w:val="28"/>
          <w:lang w:eastAsia="zh-CN"/>
        </w:rPr>
        <w:t>；</w:t>
      </w:r>
      <w:r>
        <w:rPr>
          <w:rFonts w:hint="eastAsia" w:ascii="楷体" w:hAnsi="楷体" w:eastAsia="楷体" w:cs="楷体"/>
          <w:sz w:val="28"/>
          <w:szCs w:val="28"/>
        </w:rPr>
        <w:t>转子成型产生的</w:t>
      </w:r>
      <w:r>
        <w:rPr>
          <w:rFonts w:hint="eastAsia" w:ascii="楷体" w:hAnsi="楷体" w:eastAsia="楷体" w:cs="楷体"/>
          <w:sz w:val="28"/>
          <w:szCs w:val="28"/>
          <w:lang w:eastAsia="zh-CN"/>
        </w:rPr>
        <w:t>非甲烷总烃</w:t>
      </w:r>
      <w:r>
        <w:rPr>
          <w:rFonts w:hint="eastAsia" w:ascii="楷体" w:hAnsi="楷体" w:eastAsia="楷体" w:cs="楷体"/>
          <w:sz w:val="28"/>
          <w:szCs w:val="28"/>
        </w:rPr>
        <w:t>经集气罩收集后通过“喷淋塔+过滤棉+静电吸附+UV光氧催化设备”进行处理，经1根15m高的排气筒排放</w:t>
      </w:r>
      <w:r>
        <w:rPr>
          <w:rFonts w:hint="eastAsia" w:ascii="楷体" w:hAnsi="楷体" w:eastAsia="楷体" w:cs="楷体"/>
          <w:sz w:val="28"/>
          <w:szCs w:val="28"/>
          <w:lang w:eastAsia="zh-CN"/>
        </w:rPr>
        <w:t>。</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rPr>
        <w:t>项目无组织废气主要是浸漆、喷漆过程中</w:t>
      </w:r>
      <w:r>
        <w:rPr>
          <w:rFonts w:hint="eastAsia" w:ascii="楷体" w:hAnsi="楷体" w:eastAsia="楷体" w:cs="楷体"/>
          <w:sz w:val="28"/>
          <w:szCs w:val="28"/>
          <w:lang w:val="en-US" w:eastAsia="zh-CN"/>
        </w:rPr>
        <w:t>产生的</w:t>
      </w:r>
      <w:r>
        <w:rPr>
          <w:rFonts w:hint="eastAsia" w:ascii="楷体" w:hAnsi="楷体" w:eastAsia="楷体" w:cs="楷体"/>
          <w:sz w:val="28"/>
          <w:szCs w:val="28"/>
        </w:rPr>
        <w:t>颗粒物、VOCs</w:t>
      </w:r>
      <w:r>
        <w:rPr>
          <w:rFonts w:hint="eastAsia" w:ascii="楷体" w:hAnsi="楷体" w:eastAsia="楷体" w:cs="楷体"/>
          <w:sz w:val="28"/>
          <w:szCs w:val="28"/>
          <w:lang w:eastAsia="zh-CN"/>
        </w:rPr>
        <w:t>（以非甲烷总烃计）</w:t>
      </w:r>
      <w:r>
        <w:rPr>
          <w:rFonts w:hint="eastAsia" w:ascii="楷体" w:hAnsi="楷体" w:eastAsia="楷体" w:cs="楷体"/>
          <w:sz w:val="28"/>
          <w:szCs w:val="28"/>
        </w:rPr>
        <w:t>、二甲苯</w:t>
      </w:r>
      <w:r>
        <w:rPr>
          <w:rFonts w:hint="eastAsia" w:ascii="楷体" w:hAnsi="楷体" w:eastAsia="楷体" w:cs="楷体"/>
          <w:sz w:val="28"/>
          <w:szCs w:val="28"/>
          <w:lang w:eastAsia="zh-CN"/>
        </w:rPr>
        <w:t>、</w:t>
      </w:r>
      <w:r>
        <w:rPr>
          <w:rFonts w:hint="eastAsia" w:ascii="楷体" w:hAnsi="楷体" w:eastAsia="楷体" w:cs="楷体"/>
          <w:sz w:val="28"/>
          <w:szCs w:val="28"/>
        </w:rPr>
        <w:t>苯乙烯</w:t>
      </w:r>
      <w:r>
        <w:rPr>
          <w:rFonts w:hint="eastAsia" w:ascii="楷体" w:hAnsi="楷体" w:eastAsia="楷体" w:cs="楷体"/>
          <w:sz w:val="28"/>
          <w:szCs w:val="28"/>
          <w:lang w:val="en-US" w:eastAsia="zh-CN"/>
        </w:rPr>
        <w:t>无组织排放。</w:t>
      </w:r>
    </w:p>
    <w:p>
      <w:pPr>
        <w:widowControl/>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（三）噪声</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项目噪声主要为各类压力机、磨床、数控车床、铣床等生产设备运行时产生的噪声，经过基础减振，合力布局、距离的衰减等措施降低噪声对周围环境的影响。</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（四）固体废物</w:t>
      </w:r>
    </w:p>
    <w:p>
      <w:pPr>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项目产生的固体废物主要为原材料检验产生的不合格产品、废磨削液、废液压油、转子加工时产生的铁屑、定子嵌线时产生的线头、残次品、喷漆废气净化设施产生的废过滤棉（含漆渣）、喷漆水帘循环水更换的含漆废水、冲压产生的下脚料、含油废抹布及手套、废灯管、生活垃圾。其中原材料检验不合格品产量约为10t/a，转子加工铁屑产量约为10t/a，废线头产量约为0.5t/a，残次品产量约为100t/a，过滤棉（含漆渣）产量约为100t/a，属HW 12危险废物，废磨削液产量约为0.01t/a，属HW09危险废物，含油漆废水产量约为4t/a，属HW 12危险废物，废液压油产量约为0.02t/a，属HW08危险废物，含油废抹布、手套产量约为0.05t/a，属HW49其他废物，废灯管产量约为36根/a，属HW29危险废物，生活垃圾产量约为2.25t/a，冲压下脚料产量约为400t/a；项目产生的废磨削液、废液压油、废灯管、废手套及抹布、漆渣及含漆废水属于危险废物，送至危废暂存间内，委托山东中再生环境服务有限公司处理，原材料检验产生的不合格产品、转子加工时产生的铁屑、定子嵌线时产生的线头、残次品、冲压产生的下脚料外售综合利用，生活垃圾由环卫部门统一清运。</w:t>
      </w:r>
    </w:p>
    <w:p>
      <w:pPr>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四、验收监测结果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（一）环保设施运行检测结果</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聊城市环境科学工程设计院环境检测中心出具的《山东大崑电机有限公司年产2600台电机及1000吨定转子项目竣工环境保护验收监测报告》监测结果表明：</w:t>
      </w:r>
    </w:p>
    <w:p>
      <w:pPr>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1.废气</w:t>
      </w:r>
    </w:p>
    <w:p>
      <w:pPr>
        <w:spacing w:line="360" w:lineRule="auto"/>
        <w:ind w:firstLine="560" w:firstLineChars="200"/>
        <w:jc w:val="left"/>
        <w:rPr>
          <w:rFonts w:hint="eastAsia" w:ascii="楷体" w:hAnsi="楷体" w:eastAsia="楷体" w:cs="楷体"/>
          <w:sz w:val="28"/>
          <w:szCs w:val="28"/>
        </w:rPr>
      </w:pPr>
      <w:r>
        <w:rPr>
          <w:rFonts w:hint="eastAsia" w:ascii="楷体" w:hAnsi="楷体" w:eastAsia="楷体" w:cs="楷体"/>
          <w:sz w:val="28"/>
          <w:szCs w:val="28"/>
        </w:rPr>
        <w:t>验收监测期间，无组织废气颗粒物最大排放浓度为0.377mg/m</w:t>
      </w:r>
      <w:r>
        <w:rPr>
          <w:rFonts w:hint="eastAsia" w:ascii="楷体" w:hAnsi="楷体" w:eastAsia="楷体" w:cs="楷体"/>
          <w:sz w:val="28"/>
          <w:szCs w:val="28"/>
          <w:vertAlign w:val="superscript"/>
        </w:rPr>
        <w:t>3</w:t>
      </w:r>
      <w:r>
        <w:rPr>
          <w:rFonts w:hint="eastAsia" w:ascii="楷体" w:hAnsi="楷体" w:eastAsia="楷体" w:cs="楷体"/>
          <w:sz w:val="28"/>
          <w:szCs w:val="28"/>
        </w:rPr>
        <w:t>、均符合《大气污染物综合排放标准》（GB16297-1996）表2中的无组织排放监控浓度限值要求；苯乙烯最大排放浓度为未检出，满足《恶臭污染物排放标准》（GB14554-1993）表1中的二级标准；二甲苯、VOCs最大排放浓度分别为未检出、1.77mg/m</w:t>
      </w:r>
      <w:r>
        <w:rPr>
          <w:rFonts w:hint="eastAsia" w:ascii="楷体" w:hAnsi="楷体" w:eastAsia="楷体" w:cs="楷体"/>
          <w:sz w:val="28"/>
          <w:szCs w:val="28"/>
          <w:vertAlign w:val="superscript"/>
        </w:rPr>
        <w:t>3</w:t>
      </w:r>
      <w:r>
        <w:rPr>
          <w:rFonts w:hint="eastAsia" w:ascii="楷体" w:hAnsi="楷体" w:eastAsia="楷体" w:cs="楷体"/>
          <w:sz w:val="28"/>
          <w:szCs w:val="28"/>
        </w:rPr>
        <w:t>，均符合《山东省挥发性有机物排放标准 第5部分：表面涂装行业》（DB37/2801.5-2018）表3中的响应的标准。浸漆及烘干工序处理后排气筒产生的苯乙烯最大排放浓度为1.05mg/m</w:t>
      </w:r>
      <w:r>
        <w:rPr>
          <w:rFonts w:hint="eastAsia" w:ascii="楷体" w:hAnsi="楷体" w:eastAsia="楷体" w:cs="楷体"/>
          <w:sz w:val="28"/>
          <w:szCs w:val="28"/>
          <w:vertAlign w:val="superscript"/>
        </w:rPr>
        <w:t>3</w:t>
      </w:r>
      <w:r>
        <w:rPr>
          <w:rFonts w:hint="eastAsia" w:ascii="楷体" w:hAnsi="楷体" w:eastAsia="楷体" w:cs="楷体"/>
          <w:sz w:val="28"/>
          <w:szCs w:val="28"/>
        </w:rPr>
        <w:t>，符合《恶臭污染物排放标准》（GB14554-1993）表2中的标准，二甲苯最大排放浓度为未检出，符合《山东省挥发性有机物排放标准 第5部分：表面涂装行业》表1中的响应的标准；喷漆和晾干工序处理后排气筒产生的二甲苯、VOCs最大排放浓度分别为未检出、1.08mg/m</w:t>
      </w:r>
      <w:r>
        <w:rPr>
          <w:rFonts w:hint="eastAsia" w:ascii="楷体" w:hAnsi="楷体" w:eastAsia="楷体" w:cs="楷体"/>
          <w:sz w:val="28"/>
          <w:szCs w:val="28"/>
          <w:vertAlign w:val="superscript"/>
        </w:rPr>
        <w:t>3</w:t>
      </w:r>
      <w:r>
        <w:rPr>
          <w:rFonts w:hint="eastAsia" w:ascii="楷体" w:hAnsi="楷体" w:eastAsia="楷体" w:cs="楷体"/>
          <w:sz w:val="28"/>
          <w:szCs w:val="28"/>
        </w:rPr>
        <w:t>，均符合《山东省挥发性有机物排放标准 第5部分：表面涂装行业》表1中的响应的标准；颗粒物最大排放浓度为3.6mg/m</w:t>
      </w:r>
      <w:r>
        <w:rPr>
          <w:rFonts w:hint="eastAsia" w:ascii="楷体" w:hAnsi="楷体" w:eastAsia="楷体" w:cs="楷体"/>
          <w:sz w:val="28"/>
          <w:szCs w:val="28"/>
          <w:vertAlign w:val="superscript"/>
        </w:rPr>
        <w:t>3</w:t>
      </w:r>
      <w:r>
        <w:rPr>
          <w:rFonts w:hint="eastAsia" w:ascii="楷体" w:hAnsi="楷体" w:eastAsia="楷体" w:cs="楷体"/>
          <w:sz w:val="28"/>
          <w:szCs w:val="28"/>
        </w:rPr>
        <w:t>，符合《山东省区域大气污染物综合排放标准》（DB37/2376-2013）表2“一般控制区”标准限值要求；转子成型工序处理后排气筒产生的非甲烷总烃最大排放浓度为6.7mg/m</w:t>
      </w:r>
      <w:r>
        <w:rPr>
          <w:rFonts w:hint="eastAsia" w:ascii="楷体" w:hAnsi="楷体" w:eastAsia="楷体" w:cs="楷体"/>
          <w:sz w:val="28"/>
          <w:szCs w:val="28"/>
          <w:vertAlign w:val="superscript"/>
        </w:rPr>
        <w:t>3</w:t>
      </w:r>
      <w:r>
        <w:rPr>
          <w:rFonts w:hint="eastAsia" w:ascii="楷体" w:hAnsi="楷体" w:eastAsia="楷体" w:cs="楷体"/>
          <w:sz w:val="28"/>
          <w:szCs w:val="28"/>
        </w:rPr>
        <w:t>，满足《大气污染物综合排放标准》（GB16297-1996）表2中的酚甲烷总烃二级排放标准。</w:t>
      </w:r>
    </w:p>
    <w:p>
      <w:pPr>
        <w:spacing w:line="360" w:lineRule="auto"/>
        <w:ind w:firstLine="560" w:firstLineChars="200"/>
        <w:jc w:val="left"/>
        <w:rPr>
          <w:rFonts w:hint="eastAsia" w:ascii="楷体" w:hAnsi="楷体" w:eastAsia="楷体" w:cs="楷体"/>
          <w:sz w:val="28"/>
          <w:szCs w:val="28"/>
        </w:rPr>
      </w:pP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2、噪声</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噪声监测结果表明，四厂界昼间噪声值在55.7dB（A）~59.2dB（A）之间，夜间噪声值在46.3dB（A）~48.7dB（A）之间，均符合《工业企业厂界环境噪声排放标准》（GB12348-2008）中的2类标准要求。</w:t>
      </w:r>
    </w:p>
    <w:p>
      <w:pPr>
        <w:spacing w:beforeLines="50" w:line="360" w:lineRule="auto"/>
        <w:ind w:firstLine="548" w:firstLineChars="196"/>
        <w:rPr>
          <w:rFonts w:ascii="楷体" w:hAnsi="楷体" w:eastAsia="楷体" w:cs="楷体"/>
          <w:color w:val="FF0000"/>
          <w:sz w:val="28"/>
          <w:szCs w:val="28"/>
        </w:rPr>
      </w:pPr>
      <w:r>
        <w:rPr>
          <w:rFonts w:hint="eastAsia" w:ascii="楷体" w:hAnsi="楷体" w:eastAsia="楷体" w:cs="楷体"/>
          <w:sz w:val="28"/>
          <w:szCs w:val="28"/>
        </w:rPr>
        <w:t>3．固体废物</w:t>
      </w:r>
    </w:p>
    <w:p>
      <w:pPr>
        <w:spacing w:beforeLines="50" w:line="360" w:lineRule="auto"/>
        <w:ind w:firstLine="280" w:firstLineChars="100"/>
        <w:rPr>
          <w:rFonts w:hint="eastAsia" w:ascii="楷体" w:hAnsi="楷体" w:eastAsia="楷体" w:cs="楷体"/>
          <w:color w:val="000000"/>
          <w:sz w:val="28"/>
          <w:szCs w:val="28"/>
        </w:rPr>
      </w:pPr>
      <w:r>
        <w:rPr>
          <w:rFonts w:hint="eastAsia" w:ascii="楷体" w:hAnsi="楷体" w:eastAsia="楷体" w:cs="楷体"/>
          <w:color w:val="000000"/>
          <w:sz w:val="28"/>
          <w:szCs w:val="28"/>
        </w:rPr>
        <w:t>项目产生的固体废物主要为原材料检验产生的不合格产品、废磨削液、废液压油、转子加工时产生的铁屑、定子嵌线时产生的线头、残次品、喷漆废气净化设施产生的废过滤棉（含漆渣）、喷漆水帘循环水更换的含漆废水、冲压产生的下脚料、含油废抹布及手套、废灯管、生活垃圾。其中原材料检验不合格品产量约为10t/a，转子加工铁屑产量约为10t/a，废线头产量约为0.5t/a，残次品产量约为100t/a，过滤棉（含漆渣）产量约为100t/a，属HW 12危险废物，废磨削液产量约为0.01t/a，属HW09危险废物，含油漆废水产量约为4t/a，属HW 12危险废物，废液压油产量约为0.02t/a，属HW08危险废物，含油废抹布、手套产量约为0.05t/a，属HW49其他废物，废灯管产量约为36根/a，属HW29危险废物，生活垃圾产量约为2.25t/a，冲压下脚料产量约为400t/a；项目产生的废磨削液、废液压油、废灯管、废手套及抹布、漆渣及含漆废水属于危险废物，送至危废暂存间内，委托有山东中再生环境服务有限公司处理，原材料检验产生的不合格产品、转子加工时产生的铁屑、定子嵌线时产生的线头、残次品、冲压产生的下脚料外售综合利用，生活垃圾由环卫部门统一清运。</w:t>
      </w:r>
    </w:p>
    <w:p>
      <w:pPr>
        <w:spacing w:beforeLines="50" w:line="360" w:lineRule="auto"/>
        <w:ind w:firstLine="280" w:firstLineChars="100"/>
        <w:rPr>
          <w:rFonts w:ascii="楷体" w:hAnsi="楷体" w:eastAsia="楷体" w:cs="楷体"/>
          <w:color w:val="000000"/>
          <w:sz w:val="28"/>
          <w:szCs w:val="28"/>
        </w:rPr>
      </w:pPr>
      <w:r>
        <w:rPr>
          <w:rFonts w:hint="eastAsia" w:ascii="楷体" w:hAnsi="楷体" w:eastAsia="楷体" w:cs="楷体"/>
          <w:color w:val="000000"/>
          <w:sz w:val="28"/>
          <w:szCs w:val="28"/>
        </w:rPr>
        <w:t>（二）环境管理调查</w:t>
      </w:r>
    </w:p>
    <w:p>
      <w:pPr>
        <w:spacing w:line="360" w:lineRule="auto"/>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lang w:eastAsia="zh-CN"/>
        </w:rPr>
        <w:t>山东大崑电机有限公司</w:t>
      </w:r>
      <w:r>
        <w:rPr>
          <w:rFonts w:hint="eastAsia" w:ascii="楷体" w:hAnsi="楷体" w:eastAsia="楷体" w:cs="楷体"/>
          <w:color w:val="000000"/>
          <w:sz w:val="28"/>
          <w:szCs w:val="28"/>
        </w:rPr>
        <w:t>制定了《</w:t>
      </w:r>
      <w:r>
        <w:rPr>
          <w:rFonts w:hint="eastAsia" w:ascii="楷体" w:hAnsi="楷体" w:eastAsia="楷体" w:cs="楷体"/>
          <w:color w:val="000000"/>
          <w:sz w:val="28"/>
          <w:szCs w:val="28"/>
          <w:lang w:eastAsia="zh-CN"/>
        </w:rPr>
        <w:t>山东大崑电机有限公司</w:t>
      </w:r>
      <w:r>
        <w:rPr>
          <w:rFonts w:hint="eastAsia" w:ascii="楷体" w:hAnsi="楷体" w:eastAsia="楷体" w:cs="楷体"/>
          <w:color w:val="000000"/>
          <w:sz w:val="28"/>
          <w:szCs w:val="28"/>
        </w:rPr>
        <w:t>环保管理制度》,并设立了相关机构。日常工作由工程部门归口管理，其主要职责是：行使公司环保工作的计划、组织、指挥、协调、检查和考核管理职能，日常一切工作须对公司负责。</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五、专家意见：</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在今后企业环保工作中，建议企业落实以下要求。</w:t>
      </w:r>
    </w:p>
    <w:p>
      <w:pPr>
        <w:numPr>
          <w:ilvl w:val="0"/>
          <w:numId w:val="2"/>
        </w:numPr>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加强文本制作质量，审核关于废气检测数据、设备清单、实际投资金额及工艺流程内容，使文本内容真实可靠，进一步完善、核实验收检测报告。</w:t>
      </w:r>
    </w:p>
    <w:p>
      <w:pPr>
        <w:pStyle w:val="10"/>
        <w:numPr>
          <w:ilvl w:val="0"/>
          <w:numId w:val="2"/>
        </w:numPr>
      </w:pPr>
      <w:r>
        <w:rPr>
          <w:rFonts w:hint="eastAsia" w:ascii="楷体" w:hAnsi="楷体" w:eastAsia="楷体" w:cs="楷体"/>
          <w:kern w:val="2"/>
          <w:sz w:val="28"/>
          <w:szCs w:val="28"/>
          <w:lang w:val="en-US" w:eastAsia="zh-CN" w:bidi="ar-SA"/>
        </w:rPr>
        <w:t>部分车床下方及周围存在油污现象，应及时清理，保持车床及周围地面清洁。</w:t>
      </w:r>
    </w:p>
    <w:p>
      <w:pPr>
        <w:pStyle w:val="10"/>
        <w:numPr>
          <w:ilvl w:val="0"/>
          <w:numId w:val="2"/>
        </w:numPr>
      </w:pPr>
      <w:r>
        <w:rPr>
          <w:rFonts w:hint="eastAsia" w:ascii="楷体" w:hAnsi="楷体" w:eastAsia="楷体" w:cs="楷体"/>
          <w:kern w:val="2"/>
          <w:sz w:val="28"/>
          <w:szCs w:val="28"/>
          <w:lang w:val="en-US" w:eastAsia="zh-CN" w:bidi="ar-SA"/>
        </w:rPr>
        <w:t>规范采样爬梯、平台和采样口。</w:t>
      </w:r>
    </w:p>
    <w:p>
      <w:pPr>
        <w:pStyle w:val="10"/>
        <w:numPr>
          <w:ilvl w:val="0"/>
          <w:numId w:val="2"/>
        </w:numPr>
      </w:pPr>
      <w:r>
        <w:rPr>
          <w:rFonts w:hint="eastAsia" w:ascii="楷体" w:hAnsi="楷体" w:eastAsia="楷体" w:cs="楷体"/>
          <w:kern w:val="2"/>
          <w:sz w:val="28"/>
          <w:szCs w:val="28"/>
          <w:lang w:val="en-US" w:eastAsia="zh-CN" w:bidi="ar-SA"/>
        </w:rPr>
        <w:t>喷涂工序应加大废气收集面积，提高废气收集效率。</w:t>
      </w:r>
    </w:p>
    <w:p>
      <w:pPr>
        <w:pStyle w:val="10"/>
        <w:numPr>
          <w:ilvl w:val="0"/>
          <w:numId w:val="2"/>
        </w:numPr>
      </w:pPr>
      <w:r>
        <w:rPr>
          <w:rFonts w:hint="eastAsia" w:ascii="楷体" w:hAnsi="楷体" w:eastAsia="楷体" w:cs="楷体"/>
          <w:kern w:val="2"/>
          <w:sz w:val="28"/>
          <w:szCs w:val="28"/>
          <w:lang w:val="en-US" w:eastAsia="zh-CN" w:bidi="ar-SA"/>
        </w:rPr>
        <w:t>危废台账记录内容不完整。</w:t>
      </w:r>
    </w:p>
    <w:p>
      <w:pPr>
        <w:pStyle w:val="2"/>
        <w:numPr>
          <w:ilvl w:val="0"/>
          <w:numId w:val="3"/>
        </w:numPr>
        <w:ind w:firstLine="280" w:firstLineChars="100"/>
        <w:rPr>
          <w:rFonts w:hint="default" w:ascii="楷体" w:hAnsi="楷体" w:eastAsia="楷体" w:cs="楷体"/>
          <w:sz w:val="28"/>
          <w:szCs w:val="28"/>
        </w:rPr>
      </w:pPr>
      <w:r>
        <w:rPr>
          <w:rFonts w:ascii="楷体" w:hAnsi="楷体" w:eastAsia="楷体" w:cs="楷体"/>
          <w:sz w:val="28"/>
          <w:szCs w:val="28"/>
        </w:rPr>
        <w:t>现场整改照片：</w:t>
      </w:r>
    </w:p>
    <w:p>
      <w:pPr>
        <w:spacing w:line="360" w:lineRule="auto"/>
        <w:jc w:val="left"/>
        <w:rPr>
          <w:rFonts w:hint="eastAsia" w:ascii="楷体" w:hAnsi="楷体" w:eastAsia="楷体" w:cs="楷体"/>
          <w:sz w:val="28"/>
          <w:szCs w:val="28"/>
          <w:lang w:eastAsia="zh-CN"/>
        </w:rPr>
      </w:pPr>
      <w:r>
        <w:rPr>
          <w:rFonts w:hint="eastAsia" w:ascii="楷体" w:hAnsi="楷体" w:eastAsia="楷体" w:cs="楷体"/>
          <w:sz w:val="28"/>
          <w:szCs w:val="28"/>
          <w:lang w:eastAsia="zh-CN"/>
        </w:rPr>
        <w:drawing>
          <wp:inline distT="0" distB="0" distL="114300" distR="114300">
            <wp:extent cx="6180455" cy="3476625"/>
            <wp:effectExtent l="0" t="0" r="10795" b="9525"/>
            <wp:docPr id="2" name="图片 2" descr="微信图片_20180807102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80807102128"/>
                    <pic:cNvPicPr>
                      <a:picLocks noChangeAspect="1"/>
                    </pic:cNvPicPr>
                  </pic:nvPicPr>
                  <pic:blipFill>
                    <a:blip r:embed="rId4"/>
                    <a:stretch>
                      <a:fillRect/>
                    </a:stretch>
                  </pic:blipFill>
                  <pic:spPr>
                    <a:xfrm>
                      <a:off x="0" y="0"/>
                      <a:ext cx="6180455" cy="3476625"/>
                    </a:xfrm>
                    <a:prstGeom prst="rect">
                      <a:avLst/>
                    </a:prstGeom>
                  </pic:spPr>
                </pic:pic>
              </a:graphicData>
            </a:graphic>
          </wp:inline>
        </w:drawing>
      </w:r>
      <w:bookmarkStart w:id="0" w:name="_GoBack"/>
      <w:r>
        <w:rPr>
          <w:rFonts w:hint="eastAsia" w:ascii="楷体" w:hAnsi="楷体" w:eastAsia="楷体" w:cs="楷体"/>
          <w:sz w:val="28"/>
          <w:szCs w:val="28"/>
          <w:lang w:eastAsia="zh-CN"/>
        </w:rPr>
        <w:drawing>
          <wp:anchor distT="0" distB="0" distL="114300" distR="114300" simplePos="0" relativeHeight="251658240" behindDoc="0" locked="0" layoutInCell="1" allowOverlap="1">
            <wp:simplePos x="0" y="0"/>
            <wp:positionH relativeFrom="column">
              <wp:posOffset>3044190</wp:posOffset>
            </wp:positionH>
            <wp:positionV relativeFrom="paragraph">
              <wp:posOffset>440055</wp:posOffset>
            </wp:positionV>
            <wp:extent cx="3486150" cy="4933950"/>
            <wp:effectExtent l="0" t="0" r="0" b="0"/>
            <wp:wrapNone/>
            <wp:docPr id="3" name="图片 3" descr="微信图片_20180807090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180807090239"/>
                    <pic:cNvPicPr>
                      <a:picLocks noChangeAspect="1"/>
                    </pic:cNvPicPr>
                  </pic:nvPicPr>
                  <pic:blipFill>
                    <a:blip r:embed="rId5"/>
                    <a:stretch>
                      <a:fillRect/>
                    </a:stretch>
                  </pic:blipFill>
                  <pic:spPr>
                    <a:xfrm>
                      <a:off x="0" y="0"/>
                      <a:ext cx="3486150" cy="4933950"/>
                    </a:xfrm>
                    <a:prstGeom prst="rect">
                      <a:avLst/>
                    </a:prstGeom>
                  </pic:spPr>
                </pic:pic>
              </a:graphicData>
            </a:graphic>
          </wp:anchor>
        </w:drawing>
      </w:r>
      <w:bookmarkEnd w:id="0"/>
      <w:r>
        <w:rPr>
          <w:rFonts w:hint="eastAsia" w:ascii="楷体" w:hAnsi="楷体" w:eastAsia="楷体" w:cs="楷体"/>
          <w:sz w:val="28"/>
          <w:szCs w:val="28"/>
          <w:lang w:eastAsia="zh-CN"/>
        </w:rPr>
        <w:drawing>
          <wp:inline distT="0" distB="0" distL="114300" distR="114300">
            <wp:extent cx="2912110" cy="5176520"/>
            <wp:effectExtent l="0" t="0" r="2540" b="5080"/>
            <wp:docPr id="1" name="图片 1" descr="微信图片_201808070902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1808070902391"/>
                    <pic:cNvPicPr>
                      <a:picLocks noChangeAspect="1"/>
                    </pic:cNvPicPr>
                  </pic:nvPicPr>
                  <pic:blipFill>
                    <a:blip r:embed="rId6"/>
                    <a:stretch>
                      <a:fillRect/>
                    </a:stretch>
                  </pic:blipFill>
                  <pic:spPr>
                    <a:xfrm>
                      <a:off x="0" y="0"/>
                      <a:ext cx="2912110" cy="5176520"/>
                    </a:xfrm>
                    <a:prstGeom prst="rect">
                      <a:avLst/>
                    </a:prstGeom>
                  </pic:spPr>
                </pic:pic>
              </a:graphicData>
            </a:graphic>
          </wp:inline>
        </w:drawing>
      </w:r>
    </w:p>
    <w:p>
      <w:pPr>
        <w:pStyle w:val="2"/>
        <w:rPr>
          <w:rFonts w:ascii="楷体" w:hAnsi="楷体" w:eastAsia="楷体" w:cs="楷体"/>
          <w:sz w:val="28"/>
          <w:szCs w:val="28"/>
        </w:rPr>
      </w:pPr>
    </w:p>
    <w:p>
      <w:pPr>
        <w:pStyle w:val="2"/>
        <w:rPr>
          <w:rFonts w:ascii="楷体" w:hAnsi="楷体" w:eastAsia="楷体" w:cs="楷体"/>
          <w:sz w:val="28"/>
          <w:szCs w:val="28"/>
        </w:rPr>
      </w:pPr>
    </w:p>
    <w:p>
      <w:pPr>
        <w:pStyle w:val="2"/>
        <w:rPr>
          <w:rFonts w:ascii="楷体" w:hAnsi="楷体" w:eastAsia="楷体" w:cs="楷体"/>
          <w:sz w:val="28"/>
          <w:szCs w:val="28"/>
        </w:rPr>
      </w:pPr>
    </w:p>
    <w:p>
      <w:pPr>
        <w:pStyle w:val="2"/>
        <w:rPr>
          <w:rFonts w:ascii="楷体" w:hAnsi="楷体" w:eastAsia="楷体" w:cs="楷体"/>
          <w:sz w:val="28"/>
          <w:szCs w:val="28"/>
        </w:rPr>
      </w:pPr>
    </w:p>
    <w:p>
      <w:pPr>
        <w:pStyle w:val="2"/>
        <w:rPr>
          <w:rFonts w:ascii="楷体" w:hAnsi="楷体" w:eastAsia="楷体" w:cs="楷体"/>
          <w:sz w:val="28"/>
          <w:szCs w:val="28"/>
        </w:rPr>
      </w:pPr>
    </w:p>
    <w:p>
      <w:pPr>
        <w:pStyle w:val="2"/>
        <w:rPr>
          <w:rFonts w:ascii="楷体" w:hAnsi="楷体" w:eastAsia="楷体" w:cs="楷体"/>
          <w:sz w:val="28"/>
          <w:szCs w:val="28"/>
        </w:rPr>
      </w:pPr>
    </w:p>
    <w:p>
      <w:pPr>
        <w:pStyle w:val="2"/>
        <w:rPr>
          <w:rFonts w:ascii="楷体" w:hAnsi="楷体" w:eastAsia="楷体" w:cs="楷体"/>
          <w:sz w:val="28"/>
          <w:szCs w:val="28"/>
        </w:rPr>
      </w:pPr>
    </w:p>
    <w:p>
      <w:pPr>
        <w:pStyle w:val="2"/>
        <w:rPr>
          <w:rFonts w:ascii="楷体" w:hAnsi="楷体" w:eastAsia="楷体" w:cs="楷体"/>
          <w:sz w:val="28"/>
          <w:szCs w:val="28"/>
        </w:rPr>
      </w:pPr>
    </w:p>
    <w:p>
      <w:pPr>
        <w:pStyle w:val="2"/>
      </w:pP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七、验收结论</w:t>
      </w:r>
    </w:p>
    <w:p>
      <w:pPr>
        <w:spacing w:line="360" w:lineRule="auto"/>
        <w:ind w:firstLine="555"/>
        <w:rPr>
          <w:rFonts w:ascii="楷体" w:hAnsi="楷体" w:eastAsia="楷体" w:cs="楷体"/>
          <w:sz w:val="28"/>
          <w:szCs w:val="28"/>
        </w:rPr>
      </w:pPr>
      <w:r>
        <w:rPr>
          <w:rFonts w:hint="eastAsia" w:ascii="楷体" w:hAnsi="楷体" w:eastAsia="楷体" w:cs="楷体"/>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ascii="楷体" w:hAnsi="楷体" w:eastAsia="楷体" w:cs="楷体"/>
          <w:sz w:val="28"/>
          <w:szCs w:val="28"/>
        </w:rPr>
      </w:pPr>
      <w:r>
        <w:rPr>
          <w:rFonts w:hint="eastAsia" w:ascii="楷体" w:hAnsi="楷体" w:eastAsia="楷体" w:cs="楷体"/>
          <w:sz w:val="28"/>
          <w:szCs w:val="28"/>
        </w:rPr>
        <w:t xml:space="preserve">                          </w:t>
      </w:r>
      <w:r>
        <w:rPr>
          <w:rFonts w:hint="eastAsia" w:ascii="楷体" w:hAnsi="楷体" w:eastAsia="楷体" w:cs="楷体"/>
          <w:sz w:val="28"/>
          <w:szCs w:val="28"/>
          <w:lang w:eastAsia="zh-CN"/>
        </w:rPr>
        <w:t>山东大崑电机有限公司</w:t>
      </w:r>
      <w:r>
        <w:rPr>
          <w:rFonts w:hint="eastAsia" w:ascii="楷体" w:hAnsi="楷体" w:eastAsia="楷体" w:cs="楷体"/>
          <w:sz w:val="28"/>
          <w:szCs w:val="28"/>
        </w:rPr>
        <w:t>验收组</w:t>
      </w:r>
    </w:p>
    <w:p>
      <w:pPr>
        <w:spacing w:line="360" w:lineRule="auto"/>
        <w:jc w:val="right"/>
      </w:pPr>
      <w:r>
        <w:rPr>
          <w:rFonts w:hint="eastAsia" w:ascii="楷体" w:hAnsi="楷体" w:eastAsia="楷体" w:cs="楷体"/>
          <w:sz w:val="28"/>
          <w:szCs w:val="28"/>
        </w:rPr>
        <w:t xml:space="preserve">                                2018年7月</w:t>
      </w:r>
      <w:r>
        <w:rPr>
          <w:rFonts w:hint="eastAsia" w:ascii="楷体" w:hAnsi="楷体" w:eastAsia="楷体" w:cs="楷体"/>
          <w:sz w:val="28"/>
          <w:szCs w:val="28"/>
          <w:lang w:val="en-US" w:eastAsia="zh-CN"/>
        </w:rPr>
        <w:t>30</w:t>
      </w:r>
      <w:r>
        <w:rPr>
          <w:rFonts w:hint="eastAsia" w:ascii="楷体" w:hAnsi="楷体" w:eastAsia="楷体" w:cs="楷体"/>
          <w:sz w:val="28"/>
          <w:szCs w:val="28"/>
        </w:rPr>
        <w:t xml:space="preserve">日 </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1">
    <w:nsid w:val="46AAAAD9"/>
    <w:multiLevelType w:val="singleLevel"/>
    <w:tmpl w:val="46AAAAD9"/>
    <w:lvl w:ilvl="0" w:tentative="0">
      <w:start w:val="1"/>
      <w:numFmt w:val="decimal"/>
      <w:suff w:val="nothing"/>
      <w:lvlText w:val="%1、"/>
      <w:lvlJc w:val="left"/>
    </w:lvl>
  </w:abstractNum>
  <w:abstractNum w:abstractNumId="2">
    <w:nsid w:val="5B0E1076"/>
    <w:multiLevelType w:val="singleLevel"/>
    <w:tmpl w:val="5B0E1076"/>
    <w:lvl w:ilvl="0" w:tentative="0">
      <w:start w:val="6"/>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752F3F"/>
    <w:rsid w:val="00015DD7"/>
    <w:rsid w:val="00057AE6"/>
    <w:rsid w:val="00062BC5"/>
    <w:rsid w:val="000C4E79"/>
    <w:rsid w:val="001777C5"/>
    <w:rsid w:val="0021059E"/>
    <w:rsid w:val="00216D12"/>
    <w:rsid w:val="0026170E"/>
    <w:rsid w:val="002C493C"/>
    <w:rsid w:val="00340B0A"/>
    <w:rsid w:val="00364672"/>
    <w:rsid w:val="003D58AD"/>
    <w:rsid w:val="0040329E"/>
    <w:rsid w:val="00574C7A"/>
    <w:rsid w:val="005A4A68"/>
    <w:rsid w:val="005E5F6F"/>
    <w:rsid w:val="00601A89"/>
    <w:rsid w:val="00617CA2"/>
    <w:rsid w:val="0063240F"/>
    <w:rsid w:val="006B4E83"/>
    <w:rsid w:val="006D600D"/>
    <w:rsid w:val="00704C1C"/>
    <w:rsid w:val="00752F3F"/>
    <w:rsid w:val="007621BC"/>
    <w:rsid w:val="007B286E"/>
    <w:rsid w:val="007E23B4"/>
    <w:rsid w:val="007F2189"/>
    <w:rsid w:val="007F513F"/>
    <w:rsid w:val="008D13B7"/>
    <w:rsid w:val="008F366D"/>
    <w:rsid w:val="00965CD8"/>
    <w:rsid w:val="009722EA"/>
    <w:rsid w:val="009A73D2"/>
    <w:rsid w:val="009E04DC"/>
    <w:rsid w:val="00A21740"/>
    <w:rsid w:val="00A24CA0"/>
    <w:rsid w:val="00A36E7B"/>
    <w:rsid w:val="00A411AF"/>
    <w:rsid w:val="00B0594C"/>
    <w:rsid w:val="00BC7155"/>
    <w:rsid w:val="00CC379B"/>
    <w:rsid w:val="00CF7AD8"/>
    <w:rsid w:val="00D6473E"/>
    <w:rsid w:val="00E3735B"/>
    <w:rsid w:val="00EF0FDC"/>
    <w:rsid w:val="00F056C7"/>
    <w:rsid w:val="00F45902"/>
    <w:rsid w:val="00FC25EE"/>
    <w:rsid w:val="00FE23E9"/>
    <w:rsid w:val="00FF647F"/>
    <w:rsid w:val="04334B5D"/>
    <w:rsid w:val="080C1189"/>
    <w:rsid w:val="08516DB8"/>
    <w:rsid w:val="0B3710F6"/>
    <w:rsid w:val="11C63CC0"/>
    <w:rsid w:val="1887595F"/>
    <w:rsid w:val="188E2022"/>
    <w:rsid w:val="1A1158EF"/>
    <w:rsid w:val="1B5934FA"/>
    <w:rsid w:val="1EB23C92"/>
    <w:rsid w:val="2F45678C"/>
    <w:rsid w:val="3398641F"/>
    <w:rsid w:val="3BA24A74"/>
    <w:rsid w:val="3C9D29D7"/>
    <w:rsid w:val="3E407687"/>
    <w:rsid w:val="3E5C226F"/>
    <w:rsid w:val="40516DBF"/>
    <w:rsid w:val="49387C4F"/>
    <w:rsid w:val="4F63461C"/>
    <w:rsid w:val="55424CCC"/>
    <w:rsid w:val="5C687BD7"/>
    <w:rsid w:val="5D0B3D4A"/>
    <w:rsid w:val="64D951B9"/>
    <w:rsid w:val="6C935275"/>
    <w:rsid w:val="6D7870B1"/>
    <w:rsid w:val="74234EB6"/>
    <w:rsid w:val="747F6622"/>
    <w:rsid w:val="793830BA"/>
    <w:rsid w:val="7C6C781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paragraph" w:styleId="3">
    <w:name w:val="Body Text"/>
    <w:basedOn w:val="1"/>
    <w:uiPriority w:val="0"/>
    <w:pPr>
      <w:spacing w:line="360" w:lineRule="auto"/>
      <w:ind w:firstLine="1044" w:firstLineChars="200"/>
    </w:pPr>
    <w:rPr>
      <w:rFonts w:ascii="Times New Roman" w:hAnsi="Times New Roman" w:eastAsia="宋体"/>
      <w:sz w:val="24"/>
      <w:szCs w:val="24"/>
    </w:rPr>
  </w:style>
  <w:style w:type="paragraph" w:styleId="4">
    <w:name w:val="Body Text Indent"/>
    <w:basedOn w:val="1"/>
    <w:qFormat/>
    <w:uiPriority w:val="0"/>
    <w:pPr>
      <w:ind w:right="-100" w:firstLine="560" w:firstLineChars="200"/>
    </w:pPr>
    <w:rPr>
      <w:sz w:val="28"/>
    </w:rPr>
  </w:style>
  <w:style w:type="paragraph" w:styleId="5">
    <w:name w:val="Balloon Text"/>
    <w:basedOn w:val="1"/>
    <w:link w:val="17"/>
    <w:semiHidden/>
    <w:unhideWhenUsed/>
    <w:qFormat/>
    <w:uiPriority w:val="99"/>
    <w:rPr>
      <w:sz w:val="18"/>
      <w:szCs w:val="18"/>
    </w:rPr>
  </w:style>
  <w:style w:type="paragraph" w:styleId="6">
    <w:name w:val="footer"/>
    <w:basedOn w:val="1"/>
    <w:link w:val="12"/>
    <w:semiHidden/>
    <w:qFormat/>
    <w:uiPriority w:val="99"/>
    <w:pPr>
      <w:tabs>
        <w:tab w:val="center" w:pos="4153"/>
        <w:tab w:val="right" w:pos="8306"/>
      </w:tabs>
      <w:snapToGrid w:val="0"/>
      <w:jc w:val="left"/>
    </w:pPr>
    <w:rPr>
      <w:sz w:val="18"/>
      <w:szCs w:val="18"/>
    </w:rPr>
  </w:style>
  <w:style w:type="paragraph" w:styleId="7">
    <w:name w:val="header"/>
    <w:basedOn w:val="1"/>
    <w:link w:val="11"/>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10">
    <w:name w:val="li_正文"/>
    <w:basedOn w:val="1"/>
    <w:qFormat/>
    <w:uiPriority w:val="0"/>
    <w:pPr>
      <w:ind w:firstLine="200" w:firstLineChars="200"/>
      <w:jc w:val="left"/>
    </w:pPr>
    <w:rPr>
      <w:rFonts w:ascii="Calibri" w:hAnsi="Calibri"/>
      <w:sz w:val="28"/>
      <w:szCs w:val="28"/>
    </w:rPr>
  </w:style>
  <w:style w:type="character" w:customStyle="1" w:styleId="11">
    <w:name w:val="页眉 Char"/>
    <w:basedOn w:val="8"/>
    <w:link w:val="7"/>
    <w:semiHidden/>
    <w:qFormat/>
    <w:locked/>
    <w:uiPriority w:val="99"/>
    <w:rPr>
      <w:rFonts w:cs="Times New Roman"/>
      <w:sz w:val="18"/>
      <w:szCs w:val="18"/>
    </w:rPr>
  </w:style>
  <w:style w:type="character" w:customStyle="1" w:styleId="12">
    <w:name w:val="页脚 Char"/>
    <w:basedOn w:val="8"/>
    <w:link w:val="6"/>
    <w:semiHidden/>
    <w:qFormat/>
    <w:locked/>
    <w:uiPriority w:val="99"/>
    <w:rPr>
      <w:rFonts w:cs="Times New Roman"/>
      <w:sz w:val="18"/>
      <w:szCs w:val="18"/>
    </w:rPr>
  </w:style>
  <w:style w:type="paragraph" w:styleId="13">
    <w:name w:val="List Paragraph"/>
    <w:basedOn w:val="1"/>
    <w:qFormat/>
    <w:uiPriority w:val="99"/>
    <w:pPr>
      <w:ind w:firstLine="420" w:firstLineChars="200"/>
    </w:pPr>
  </w:style>
  <w:style w:type="character" w:customStyle="1" w:styleId="14">
    <w:name w:val="正1 Char"/>
    <w:link w:val="15"/>
    <w:qFormat/>
    <w:locked/>
    <w:uiPriority w:val="99"/>
    <w:rPr>
      <w:rFonts w:eastAsia="楷体_GB2312"/>
      <w:sz w:val="24"/>
    </w:rPr>
  </w:style>
  <w:style w:type="paragraph" w:customStyle="1" w:styleId="15">
    <w:name w:val="正1"/>
    <w:basedOn w:val="1"/>
    <w:link w:val="14"/>
    <w:qFormat/>
    <w:uiPriority w:val="99"/>
    <w:pPr>
      <w:spacing w:line="360" w:lineRule="auto"/>
      <w:ind w:firstLine="200" w:firstLineChars="200"/>
      <w:jc w:val="left"/>
    </w:pPr>
    <w:rPr>
      <w:rFonts w:ascii="Calibri" w:hAnsi="Calibri" w:eastAsia="楷体_GB2312"/>
      <w:kern w:val="0"/>
      <w:sz w:val="24"/>
    </w:rPr>
  </w:style>
  <w:style w:type="paragraph" w:customStyle="1" w:styleId="16">
    <w:name w:val="Char Char Char Char Char Char Char"/>
    <w:basedOn w:val="1"/>
    <w:qFormat/>
    <w:uiPriority w:val="99"/>
  </w:style>
  <w:style w:type="character" w:customStyle="1" w:styleId="17">
    <w:name w:val="批注框文本 Char"/>
    <w:basedOn w:val="8"/>
    <w:link w:val="5"/>
    <w:semiHidden/>
    <w:qFormat/>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327</Words>
  <Characters>1864</Characters>
  <Lines>15</Lines>
  <Paragraphs>4</Paragraphs>
  <TotalTime>4</TotalTime>
  <ScaleCrop>false</ScaleCrop>
  <LinksUpToDate>false</LinksUpToDate>
  <CharactersWithSpaces>2187</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Time±</cp:lastModifiedBy>
  <dcterms:modified xsi:type="dcterms:W3CDTF">2018-08-07T02:23:14Z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