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聊城经济技术开发区同源钢管加工厂年加工800吨精密钢管项目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聊城经济技术开发区同源钢管加工厂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聊城经济技术开发区同源钢管加工厂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聊城市开发区蒋官屯办事处后屯村。</w:t>
      </w:r>
      <w:r>
        <w:rPr>
          <w:rFonts w:hint="eastAsia" w:ascii="楷体" w:hAnsi="楷体" w:eastAsia="楷体" w:cs="楷体"/>
          <w:sz w:val="28"/>
          <w:szCs w:val="28"/>
        </w:rPr>
        <w:t>主要为</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710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精轧机、车床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eastAsia="zh-CN"/>
        </w:rPr>
        <w:t>聊城经济技术开发区同源钢管加工厂</w:t>
      </w:r>
      <w:r>
        <w:rPr>
          <w:rFonts w:hint="eastAsia" w:ascii="楷体" w:hAnsi="楷体" w:eastAsia="楷体" w:cs="楷体"/>
          <w:sz w:val="28"/>
          <w:szCs w:val="28"/>
        </w:rPr>
        <w:t>委托</w:t>
      </w:r>
      <w:r>
        <w:rPr>
          <w:rFonts w:hint="eastAsia" w:ascii="楷体" w:hAnsi="楷体" w:eastAsia="楷体" w:cs="楷体"/>
          <w:sz w:val="28"/>
          <w:szCs w:val="28"/>
          <w:lang w:eastAsia="zh-CN"/>
        </w:rPr>
        <w:t>聊城大学</w:t>
      </w:r>
      <w:r>
        <w:rPr>
          <w:rFonts w:hint="eastAsia" w:ascii="楷体" w:hAnsi="楷体" w:eastAsia="楷体" w:cs="楷体"/>
          <w:sz w:val="28"/>
          <w:szCs w:val="28"/>
        </w:rPr>
        <w:t>编制了《</w:t>
      </w:r>
      <w:r>
        <w:rPr>
          <w:rFonts w:hint="eastAsia" w:ascii="楷体" w:hAnsi="楷体" w:eastAsia="楷体" w:cs="楷体"/>
          <w:sz w:val="28"/>
          <w:szCs w:val="28"/>
          <w:lang w:eastAsia="zh-CN"/>
        </w:rPr>
        <w:t>聊城经济技术开发区同源钢管加工厂年加工800吨精密钢管项目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聊城市环境保护局经济技术开发区分局</w:t>
      </w:r>
      <w:r>
        <w:rPr>
          <w:rFonts w:hint="eastAsia" w:ascii="楷体" w:hAnsi="楷体" w:eastAsia="楷体" w:cs="楷体"/>
          <w:sz w:val="28"/>
          <w:szCs w:val="28"/>
        </w:rPr>
        <w:t>以</w:t>
      </w:r>
      <w:r>
        <w:rPr>
          <w:rFonts w:hint="eastAsia" w:ascii="楷体" w:hAnsi="楷体" w:eastAsia="楷体" w:cs="楷体"/>
          <w:sz w:val="28"/>
          <w:szCs w:val="28"/>
          <w:lang w:eastAsia="zh-CN"/>
        </w:rPr>
        <w:t>聊开环报告表[2017]720号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val="en-US" w:eastAsia="zh-CN"/>
        </w:rPr>
        <w:t>2</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1.2</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8</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项目主要噪声源为精轧机、车床等设备产生的噪声，通过将产噪设备布置在车间内，使用隔声门窗，对固定产振设备设置减震机座等有效的降噪措施能达到较好的效果。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固废主要为扯丝工序产生的边角料，精轧工艺产生的废机油以及职工办公、生活产生的生活垃圾。</w:t>
      </w:r>
    </w:p>
    <w:p>
      <w:pPr>
        <w:widowControl/>
        <w:spacing w:line="360" w:lineRule="auto"/>
        <w:ind w:left="0" w:leftChars="0" w:firstLine="638" w:firstLineChars="228"/>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其中，扯丝工序产生的边角料为一般固废，收集后外卖物资公司回收利用；精轧工艺产生的废机油为危险废物，危险废物类别为“HW08”，代码“900-204-08”，收集后委托梁山德润能源有限公司无害化处置。</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山东聊和环保科技有限公司出具的《聊城经济技术开发区同源钢管加工厂年加工800吨精密钢管项目竣工环境保护验收监测报告》监测结果表明：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验收监测期间，厂界四周监测点位昼间噪声在58.5dB(A)-59.9dB(A)之间,符合《工业企业厂界环境噪声排放标准》（GB12348－2008）中的2类标准限值。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固废主要为扯丝工序产生的边角料，精轧工艺产生的废机油以及职工办公、生活产生的生活垃圾。</w:t>
      </w:r>
    </w:p>
    <w:p>
      <w:pPr>
        <w:widowControl/>
        <w:spacing w:line="360" w:lineRule="auto"/>
        <w:ind w:left="0" w:leftChars="0" w:firstLine="638" w:firstLineChars="228"/>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其中，扯丝工序产生的边角料为一般固废，收集后外卖物资公司回收利用；精轧工艺产生的废机油为危险废物，危险废物类别为“HW08”，代码“900-204-08”，收集后委托梁山德润能源有限公司无害化处置。</w:t>
      </w:r>
    </w:p>
    <w:p>
      <w:pPr>
        <w:spacing w:beforeLines="50" w:line="360" w:lineRule="auto"/>
        <w:ind w:firstLine="280" w:firstLineChars="1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聊城经济技术开发区同源钢管加工厂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聊城经济技术开发区同源钢管加工厂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9"/>
        <w:numPr>
          <w:ilvl w:val="0"/>
          <w:numId w:val="2"/>
        </w:numPr>
      </w:pPr>
      <w:r>
        <w:rPr>
          <w:rFonts w:hint="eastAsia" w:ascii="楷体" w:hAnsi="楷体" w:eastAsia="楷体" w:cs="楷体"/>
          <w:kern w:val="2"/>
          <w:sz w:val="28"/>
          <w:szCs w:val="28"/>
          <w:lang w:val="en-US" w:eastAsia="zh-CN" w:bidi="ar-SA"/>
        </w:rPr>
        <w:t>精轧机下方及周围存在油污现象，应及时清理油污，保持精轧机及周围地面清洁。填平原本车间内的收集油坑，改换为托盘收集油污。</w:t>
      </w:r>
    </w:p>
    <w:p>
      <w:pPr>
        <w:pStyle w:val="9"/>
        <w:numPr>
          <w:ilvl w:val="0"/>
          <w:numId w:val="2"/>
        </w:numPr>
      </w:pPr>
      <w:r>
        <w:rPr>
          <w:rFonts w:hint="eastAsia" w:ascii="楷体" w:hAnsi="楷体" w:eastAsia="楷体" w:cs="楷体"/>
          <w:kern w:val="2"/>
          <w:sz w:val="28"/>
          <w:szCs w:val="28"/>
          <w:lang w:val="en-US" w:eastAsia="zh-CN" w:bidi="ar-SA"/>
        </w:rPr>
        <w:t>规范危废暂存间，设置围堰，完善危废台账的记录。</w:t>
      </w:r>
    </w:p>
    <w:p>
      <w:pPr>
        <w:pStyle w:val="2"/>
        <w:numPr>
          <w:ilvl w:val="0"/>
          <w:numId w:val="3"/>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2"/>
        <w:jc w:val="center"/>
        <w:rPr>
          <w:rFonts w:hint="eastAsia" w:eastAsia="宋体"/>
          <w:lang w:eastAsia="zh-CN"/>
        </w:rPr>
      </w:pPr>
      <w:bookmarkStart w:id="0" w:name="_GoBack"/>
      <w:bookmarkEnd w:id="0"/>
      <w:r>
        <w:rPr>
          <w:rFonts w:hint="eastAsia" w:eastAsia="宋体"/>
          <w:lang w:eastAsia="zh-CN"/>
        </w:rPr>
        <w:drawing>
          <wp:inline distT="0" distB="0" distL="114300" distR="114300">
            <wp:extent cx="3411855" cy="3992880"/>
            <wp:effectExtent l="0" t="0" r="17145" b="7620"/>
            <wp:docPr id="3" name="图片 3" descr="微信图片_20180821174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21174824"/>
                    <pic:cNvPicPr>
                      <a:picLocks noChangeAspect="1"/>
                    </pic:cNvPicPr>
                  </pic:nvPicPr>
                  <pic:blipFill>
                    <a:blip r:embed="rId4"/>
                    <a:stretch>
                      <a:fillRect/>
                    </a:stretch>
                  </pic:blipFill>
                  <pic:spPr>
                    <a:xfrm>
                      <a:off x="0" y="0"/>
                      <a:ext cx="3411855" cy="3992880"/>
                    </a:xfrm>
                    <a:prstGeom prst="rect">
                      <a:avLst/>
                    </a:prstGeom>
                  </pic:spPr>
                </pic:pic>
              </a:graphicData>
            </a:graphic>
          </wp:inline>
        </w:drawing>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聊城经济技术开发区同源钢管加工厂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7B30A3"/>
    <w:rsid w:val="04EE720B"/>
    <w:rsid w:val="080C1189"/>
    <w:rsid w:val="08516DB8"/>
    <w:rsid w:val="0B3710F6"/>
    <w:rsid w:val="1114739D"/>
    <w:rsid w:val="11C63CC0"/>
    <w:rsid w:val="11E60AC7"/>
    <w:rsid w:val="1887595F"/>
    <w:rsid w:val="188E2022"/>
    <w:rsid w:val="1A1158EF"/>
    <w:rsid w:val="1B5934FA"/>
    <w:rsid w:val="1EB23C92"/>
    <w:rsid w:val="2562443C"/>
    <w:rsid w:val="2F45678C"/>
    <w:rsid w:val="304D4A12"/>
    <w:rsid w:val="3398641F"/>
    <w:rsid w:val="3BA24A74"/>
    <w:rsid w:val="3C9D29D7"/>
    <w:rsid w:val="3E407687"/>
    <w:rsid w:val="3E5C226F"/>
    <w:rsid w:val="40516DBF"/>
    <w:rsid w:val="49387C4F"/>
    <w:rsid w:val="4F63461C"/>
    <w:rsid w:val="55424CCC"/>
    <w:rsid w:val="561B61CD"/>
    <w:rsid w:val="57974243"/>
    <w:rsid w:val="5C687BD7"/>
    <w:rsid w:val="5D0B3D4A"/>
    <w:rsid w:val="64D951B9"/>
    <w:rsid w:val="6C935275"/>
    <w:rsid w:val="6C9779C0"/>
    <w:rsid w:val="6F733717"/>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li_正文"/>
    <w:basedOn w:val="1"/>
    <w:qFormat/>
    <w:uiPriority w:val="0"/>
    <w:pPr>
      <w:ind w:firstLine="200" w:firstLineChars="200"/>
      <w:jc w:val="left"/>
    </w:pPr>
    <w:rPr>
      <w:rFonts w:ascii="Calibri" w:hAnsi="Calibri"/>
      <w:sz w:val="28"/>
      <w:szCs w:val="28"/>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3</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2018-08-23T02:14:00Z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