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ascii="楷体_GB2312" w:eastAsia="楷体_GB2312"/>
          <w:b/>
          <w:sz w:val="28"/>
          <w:szCs w:val="28"/>
        </w:rPr>
      </w:pPr>
      <w:r>
        <w:rPr>
          <w:rFonts w:hint="eastAsia" w:ascii="楷体_GB2312" w:eastAsia="楷体_GB2312"/>
          <w:b/>
          <w:sz w:val="28"/>
          <w:szCs w:val="28"/>
          <w:lang w:eastAsia="zh-CN"/>
        </w:rPr>
        <w:t>东阿县昌河木业有限公司木材加工项目</w:t>
      </w:r>
      <w:r>
        <w:rPr>
          <w:rFonts w:hint="eastAsia" w:ascii="楷体_GB2312" w:eastAsia="楷体_GB2312"/>
          <w:b/>
          <w:sz w:val="28"/>
          <w:szCs w:val="28"/>
        </w:rPr>
        <w:t xml:space="preserve"> </w:t>
      </w:r>
    </w:p>
    <w:p>
      <w:pPr>
        <w:tabs>
          <w:tab w:val="left" w:pos="360"/>
        </w:tabs>
        <w:ind w:left="298" w:leftChars="142"/>
        <w:jc w:val="center"/>
        <w:rPr>
          <w:rFonts w:ascii="楷体_GB2312" w:eastAsia="楷体_GB2312"/>
          <w:b/>
          <w:sz w:val="30"/>
          <w:szCs w:val="30"/>
        </w:rPr>
      </w:pPr>
      <w:r>
        <w:rPr>
          <w:rFonts w:hint="eastAsia" w:ascii="楷体_GB2312" w:eastAsia="楷体_GB2312"/>
          <w:b/>
          <w:sz w:val="28"/>
          <w:szCs w:val="28"/>
        </w:rPr>
        <w:t>竣工环境保护验收现场检查及验收工作组验收意见</w:t>
      </w: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2018年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24</w:t>
      </w:r>
      <w:r>
        <w:rPr>
          <w:rFonts w:hint="eastAsia" w:ascii="楷体" w:hAnsi="楷体" w:eastAsia="楷体" w:cs="楷体"/>
          <w:sz w:val="28"/>
          <w:szCs w:val="28"/>
        </w:rPr>
        <w:t>日，</w:t>
      </w:r>
      <w:r>
        <w:rPr>
          <w:rFonts w:hint="eastAsia" w:ascii="楷体" w:hAnsi="楷体" w:eastAsia="楷体" w:cs="楷体"/>
          <w:sz w:val="28"/>
          <w:szCs w:val="28"/>
          <w:lang w:eastAsia="zh-CN"/>
        </w:rPr>
        <w:t>东阿县昌河木业有限公司</w:t>
      </w:r>
      <w:r>
        <w:rPr>
          <w:rFonts w:hint="eastAsia" w:ascii="楷体" w:hAnsi="楷体" w:eastAsia="楷体" w:cs="楷体"/>
          <w:sz w:val="28"/>
          <w:szCs w:val="28"/>
        </w:rPr>
        <w:t>组织召开公司</w:t>
      </w:r>
      <w:r>
        <w:rPr>
          <w:rFonts w:hint="eastAsia" w:ascii="楷体" w:hAnsi="楷体" w:eastAsia="楷体" w:cs="楷体"/>
          <w:sz w:val="28"/>
          <w:szCs w:val="28"/>
          <w:lang w:eastAsia="zh-CN"/>
        </w:rPr>
        <w:t>木材加工项目</w:t>
      </w:r>
      <w:r>
        <w:rPr>
          <w:rFonts w:hint="eastAsia" w:ascii="楷体" w:hAnsi="楷体" w:eastAsia="楷体" w:cs="楷体"/>
          <w:sz w:val="28"/>
          <w:szCs w:val="28"/>
        </w:rPr>
        <w:t>竣工环境保护验收现场检查及验收会。验收工作组由工程建设单位（</w:t>
      </w:r>
      <w:r>
        <w:rPr>
          <w:rFonts w:hint="eastAsia" w:ascii="楷体" w:hAnsi="楷体" w:eastAsia="楷体" w:cs="楷体"/>
          <w:sz w:val="28"/>
          <w:szCs w:val="28"/>
          <w:lang w:eastAsia="zh-CN"/>
        </w:rPr>
        <w:t>东阿县昌河木业有限公司</w:t>
      </w:r>
      <w:r>
        <w:rPr>
          <w:rFonts w:hint="eastAsia" w:ascii="楷体" w:hAnsi="楷体" w:eastAsia="楷体" w:cs="楷体"/>
          <w:sz w:val="28"/>
          <w:szCs w:val="28"/>
        </w:rPr>
        <w:t>）、监测单位（</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）并特邀3名技术专家（名单附后）组成。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项目建设地点位于</w:t>
      </w:r>
      <w:r>
        <w:rPr>
          <w:rFonts w:hint="eastAsia" w:ascii="楷体" w:hAnsi="楷体" w:eastAsia="楷体" w:cs="楷体"/>
          <w:sz w:val="28"/>
          <w:szCs w:val="28"/>
          <w:lang w:eastAsia="zh-CN"/>
        </w:rPr>
        <w:t>东阿县牛角店镇</w:t>
      </w:r>
      <w:r>
        <w:rPr>
          <w:rFonts w:hint="eastAsia" w:ascii="楷体" w:hAnsi="楷体" w:eastAsia="楷体" w:cs="楷体"/>
          <w:sz w:val="28"/>
          <w:szCs w:val="28"/>
        </w:rPr>
        <w:t>。主要为</w:t>
      </w:r>
      <w:r>
        <w:rPr>
          <w:rFonts w:hint="eastAsia" w:ascii="楷体" w:hAnsi="楷体" w:eastAsia="楷体" w:cs="楷体"/>
          <w:sz w:val="28"/>
          <w:szCs w:val="28"/>
          <w:lang w:eastAsia="zh-CN"/>
        </w:rPr>
        <w:t>木材加工项目</w:t>
      </w:r>
      <w:r>
        <w:rPr>
          <w:rFonts w:hint="eastAsia" w:ascii="楷体" w:hAnsi="楷体" w:eastAsia="楷体" w:cs="楷体"/>
          <w:sz w:val="28"/>
          <w:szCs w:val="28"/>
        </w:rPr>
        <w:t>，总投资</w:t>
      </w:r>
      <w:r>
        <w:rPr>
          <w:rFonts w:hint="eastAsia" w:ascii="楷体" w:hAnsi="楷体" w:eastAsia="楷体" w:cs="楷体"/>
          <w:sz w:val="28"/>
          <w:szCs w:val="28"/>
          <w:lang w:val="en-US" w:eastAsia="zh-CN"/>
        </w:rPr>
        <w:t>130</w:t>
      </w:r>
      <w:r>
        <w:rPr>
          <w:rFonts w:hint="eastAsia" w:ascii="楷体" w:hAnsi="楷体" w:eastAsia="楷体" w:cs="楷体"/>
          <w:sz w:val="28"/>
          <w:szCs w:val="28"/>
        </w:rPr>
        <w:t>万元，占地面积</w:t>
      </w:r>
      <w:r>
        <w:rPr>
          <w:rFonts w:hint="eastAsia" w:ascii="楷体" w:hAnsi="楷体" w:eastAsia="楷体" w:cs="楷体"/>
          <w:sz w:val="28"/>
          <w:szCs w:val="28"/>
          <w:lang w:val="en-US" w:eastAsia="zh-CN"/>
        </w:rPr>
        <w:t>5000</w:t>
      </w:r>
      <w:r>
        <w:rPr>
          <w:rFonts w:hint="eastAsia" w:ascii="楷体" w:hAnsi="楷体" w:eastAsia="楷体" w:cs="楷体"/>
          <w:sz w:val="28"/>
          <w:szCs w:val="28"/>
        </w:rPr>
        <w:t>m</w:t>
      </w:r>
      <w:r>
        <w:rPr>
          <w:rFonts w:hint="eastAsia" w:ascii="楷体" w:hAnsi="楷体" w:eastAsia="楷体" w:cs="楷体"/>
          <w:sz w:val="28"/>
          <w:szCs w:val="28"/>
          <w:vertAlign w:val="superscript"/>
        </w:rPr>
        <w:t>2</w:t>
      </w:r>
      <w:r>
        <w:rPr>
          <w:rFonts w:hint="eastAsia" w:ascii="楷体" w:hAnsi="楷体" w:eastAsia="楷体" w:cs="楷体"/>
          <w:sz w:val="28"/>
          <w:szCs w:val="28"/>
        </w:rPr>
        <w:t>，购置</w:t>
      </w:r>
      <w:r>
        <w:rPr>
          <w:rFonts w:hint="eastAsia" w:ascii="楷体" w:hAnsi="楷体" w:eastAsia="楷体" w:cs="楷体"/>
          <w:sz w:val="28"/>
          <w:szCs w:val="28"/>
          <w:lang w:eastAsia="zh-CN"/>
        </w:rPr>
        <w:t>热压机、找圆机、旋切机</w:t>
      </w:r>
      <w:r>
        <w:rPr>
          <w:rFonts w:hint="eastAsia" w:ascii="楷体" w:hAnsi="楷体" w:eastAsia="楷体" w:cs="楷体"/>
          <w:sz w:val="28"/>
          <w:szCs w:val="28"/>
        </w:rPr>
        <w:t>等加工设备。</w:t>
      </w:r>
    </w:p>
    <w:p>
      <w:pPr>
        <w:tabs>
          <w:tab w:val="left" w:pos="360"/>
        </w:tabs>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（二）环保审批情况</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rPr>
        <w:t>201</w:t>
      </w:r>
      <w:r>
        <w:rPr>
          <w:rFonts w:hint="eastAsia" w:ascii="楷体" w:hAnsi="楷体" w:eastAsia="楷体" w:cs="楷体"/>
          <w:sz w:val="28"/>
          <w:szCs w:val="28"/>
          <w:lang w:val="en-US" w:eastAsia="zh-CN"/>
        </w:rPr>
        <w:t>2</w:t>
      </w:r>
      <w:r>
        <w:rPr>
          <w:rFonts w:hint="eastAsia" w:ascii="楷体" w:hAnsi="楷体" w:eastAsia="楷体" w:cs="楷体"/>
          <w:sz w:val="28"/>
          <w:szCs w:val="28"/>
        </w:rPr>
        <w:t>年</w:t>
      </w:r>
      <w:r>
        <w:rPr>
          <w:rFonts w:hint="eastAsia" w:ascii="楷体" w:hAnsi="楷体" w:eastAsia="楷体" w:cs="楷体"/>
          <w:sz w:val="28"/>
          <w:szCs w:val="28"/>
          <w:lang w:val="en-US" w:eastAsia="zh-CN"/>
        </w:rPr>
        <w:t>7</w:t>
      </w:r>
      <w:r>
        <w:rPr>
          <w:rFonts w:hint="eastAsia" w:ascii="楷体" w:hAnsi="楷体" w:eastAsia="楷体" w:cs="楷体"/>
          <w:sz w:val="28"/>
          <w:szCs w:val="28"/>
        </w:rPr>
        <w:t>月</w:t>
      </w:r>
      <w:r>
        <w:rPr>
          <w:rFonts w:hint="eastAsia" w:ascii="楷体" w:hAnsi="楷体" w:eastAsia="楷体" w:cs="楷体"/>
          <w:sz w:val="28"/>
          <w:szCs w:val="28"/>
          <w:lang w:eastAsia="zh-CN"/>
        </w:rPr>
        <w:t>东阿县昌河木业有限公司</w:t>
      </w:r>
      <w:r>
        <w:rPr>
          <w:rFonts w:hint="eastAsia" w:ascii="楷体" w:hAnsi="楷体" w:eastAsia="楷体" w:cs="楷体"/>
          <w:sz w:val="28"/>
          <w:szCs w:val="28"/>
        </w:rPr>
        <w:t>委托</w:t>
      </w:r>
      <w:r>
        <w:rPr>
          <w:rFonts w:hint="eastAsia" w:ascii="楷体" w:hAnsi="楷体" w:eastAsia="楷体" w:cs="楷体"/>
          <w:sz w:val="28"/>
          <w:szCs w:val="28"/>
          <w:lang w:eastAsia="zh-CN"/>
        </w:rPr>
        <w:t>聊城市环境科学工程设计院</w:t>
      </w:r>
      <w:r>
        <w:rPr>
          <w:rFonts w:hint="eastAsia" w:ascii="楷体" w:hAnsi="楷体" w:eastAsia="楷体" w:cs="楷体"/>
          <w:sz w:val="28"/>
          <w:szCs w:val="28"/>
        </w:rPr>
        <w:t>编制了《</w:t>
      </w:r>
      <w:r>
        <w:rPr>
          <w:rFonts w:hint="eastAsia" w:ascii="楷体" w:hAnsi="楷体" w:eastAsia="楷体" w:cs="楷体"/>
          <w:sz w:val="28"/>
          <w:szCs w:val="28"/>
          <w:lang w:eastAsia="zh-CN"/>
        </w:rPr>
        <w:t>东阿县昌河木业有限公司木材加工项目</w:t>
      </w:r>
      <w:r>
        <w:rPr>
          <w:rFonts w:hint="eastAsia" w:ascii="楷体" w:hAnsi="楷体" w:eastAsia="楷体" w:cs="楷体"/>
          <w:sz w:val="28"/>
          <w:szCs w:val="28"/>
        </w:rPr>
        <w:t>环境影响报告表》，201</w:t>
      </w:r>
      <w:r>
        <w:rPr>
          <w:rFonts w:hint="eastAsia" w:ascii="楷体" w:hAnsi="楷体" w:eastAsia="楷体" w:cs="楷体"/>
          <w:sz w:val="28"/>
          <w:szCs w:val="28"/>
          <w:lang w:val="en-US" w:eastAsia="zh-CN"/>
        </w:rPr>
        <w:t>2</w:t>
      </w:r>
      <w:r>
        <w:rPr>
          <w:rFonts w:hint="eastAsia" w:ascii="楷体" w:hAnsi="楷体" w:eastAsia="楷体" w:cs="楷体"/>
          <w:sz w:val="28"/>
          <w:szCs w:val="28"/>
        </w:rPr>
        <w:t>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9</w:t>
      </w:r>
      <w:r>
        <w:rPr>
          <w:rFonts w:hint="eastAsia" w:ascii="楷体" w:hAnsi="楷体" w:eastAsia="楷体" w:cs="楷体"/>
          <w:sz w:val="28"/>
          <w:szCs w:val="28"/>
        </w:rPr>
        <w:t>日</w:t>
      </w:r>
      <w:r>
        <w:rPr>
          <w:rFonts w:hint="eastAsia" w:ascii="楷体" w:hAnsi="楷体" w:eastAsia="楷体" w:cs="楷体"/>
          <w:sz w:val="28"/>
          <w:szCs w:val="28"/>
          <w:lang w:eastAsia="zh-CN"/>
        </w:rPr>
        <w:t>东阿县环境保护局</w:t>
      </w:r>
      <w:r>
        <w:rPr>
          <w:rFonts w:hint="eastAsia" w:ascii="楷体" w:hAnsi="楷体" w:eastAsia="楷体" w:cs="楷体"/>
          <w:sz w:val="28"/>
          <w:szCs w:val="28"/>
        </w:rPr>
        <w:t>对其进行了审批。2018年</w:t>
      </w:r>
      <w:r>
        <w:rPr>
          <w:rFonts w:hint="eastAsia" w:ascii="楷体" w:hAnsi="楷体" w:eastAsia="楷体" w:cs="楷体"/>
          <w:sz w:val="28"/>
          <w:szCs w:val="28"/>
          <w:lang w:val="en-US" w:eastAsia="zh-CN"/>
        </w:rPr>
        <w:t>7</w:t>
      </w:r>
      <w:r>
        <w:rPr>
          <w:rFonts w:hint="eastAsia" w:ascii="楷体" w:hAnsi="楷体" w:eastAsia="楷体" w:cs="楷体"/>
          <w:sz w:val="28"/>
          <w:szCs w:val="28"/>
        </w:rPr>
        <w:t>月份公司委托</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进行该项目的环保验收监测工作，接受委托后</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组织有关技术人员进行现场踏勘，依据监测技术规范制定了环保验收监测方案，并于2018年</w:t>
      </w:r>
      <w:r>
        <w:rPr>
          <w:rFonts w:hint="eastAsia" w:ascii="楷体" w:hAnsi="楷体" w:eastAsia="楷体" w:cs="楷体"/>
          <w:sz w:val="28"/>
          <w:szCs w:val="28"/>
          <w:lang w:val="en-US" w:eastAsia="zh-CN"/>
        </w:rPr>
        <w:t>8月7日-8日</w:t>
      </w:r>
      <w:r>
        <w:rPr>
          <w:rFonts w:hint="eastAsia" w:ascii="楷体" w:hAnsi="楷体" w:eastAsia="楷体" w:cs="楷体"/>
          <w:sz w:val="28"/>
          <w:szCs w:val="28"/>
        </w:rPr>
        <w:t>对厂区有关污染源进行了监测，根据验收监测结果和现场检查情况编制了本项目验收监测报告</w:t>
      </w:r>
      <w:r>
        <w:rPr>
          <w:rFonts w:hint="eastAsia" w:ascii="楷体" w:hAnsi="楷体" w:eastAsia="楷体" w:cs="楷体"/>
          <w:sz w:val="28"/>
          <w:szCs w:val="28"/>
          <w:lang w:eastAsia="zh-CN"/>
        </w:rPr>
        <w:t>。</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（三）投资情况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130</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3</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2.3</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eastAsia="zh-CN"/>
        </w:rPr>
        <w:t>木材加工项目</w:t>
      </w:r>
      <w:r>
        <w:rPr>
          <w:rFonts w:hint="eastAsia" w:ascii="楷体" w:hAnsi="楷体" w:eastAsia="楷体" w:cs="楷体"/>
          <w:sz w:val="28"/>
          <w:szCs w:val="28"/>
        </w:rPr>
        <w:t>及其配套环保设施。</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经现场验收核查，本项目较环评及环评批复基本没有变化，未发生重大变动。</w:t>
      </w:r>
    </w:p>
    <w:p>
      <w:pPr>
        <w:pStyle w:val="12"/>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2"/>
        <w:spacing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本项目无生产废水产生，生活污水用于厂区绿化和洒水抑尘，不外排。</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（二）废气污染源及其治理措施</w:t>
      </w:r>
    </w:p>
    <w:p>
      <w:pPr>
        <w:widowControl/>
        <w:spacing w:line="360" w:lineRule="auto"/>
        <w:ind w:firstLine="420" w:firstLineChars="150"/>
        <w:jc w:val="left"/>
        <w:rPr>
          <w:rFonts w:hint="eastAsia" w:ascii="楷体" w:hAnsi="楷体" w:eastAsia="楷体" w:cs="楷体"/>
          <w:sz w:val="28"/>
          <w:szCs w:val="28"/>
          <w:lang w:val="en-US" w:eastAsia="zh-CN"/>
        </w:rPr>
      </w:pPr>
      <w:r>
        <w:rPr>
          <w:rFonts w:hint="default" w:ascii="楷体" w:hAnsi="楷体" w:eastAsia="楷体" w:cs="楷体"/>
          <w:sz w:val="28"/>
          <w:szCs w:val="28"/>
          <w:lang w:val="en-US" w:eastAsia="zh-CN"/>
        </w:rPr>
        <w:t>本项目</w:t>
      </w:r>
      <w:r>
        <w:rPr>
          <w:rFonts w:hint="eastAsia" w:ascii="楷体" w:hAnsi="楷体" w:eastAsia="楷体" w:cs="楷体"/>
          <w:sz w:val="28"/>
          <w:szCs w:val="28"/>
          <w:lang w:val="en-US" w:eastAsia="zh-CN"/>
        </w:rPr>
        <w:t>废气主要为锯木、找圆、旋切等工序产生的颗粒物，经加强车间通风后无组织排放。</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（三）噪声</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项目主要噪声源为热压机、找圆机、旋切机等设备产生的噪声，通过将产噪设备布置在车间内，使用隔声门窗，对固定产振设备设置减震机座等有效的降噪措施能达到较好的效果。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（四）固体废物</w:t>
      </w:r>
    </w:p>
    <w:p>
      <w:pPr>
        <w:pStyle w:val="17"/>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本</w:t>
      </w:r>
      <w:r>
        <w:rPr>
          <w:rFonts w:hint="eastAsia" w:ascii="楷体" w:hAnsi="楷体" w:eastAsia="楷体" w:cs="楷体"/>
          <w:kern w:val="2"/>
          <w:sz w:val="28"/>
          <w:szCs w:val="28"/>
          <w:lang w:val="en-US" w:eastAsia="zh-CN" w:bidi="ar-SA"/>
        </w:rPr>
        <w:t>项目固废主要为边角余料、木芯和职工办公、生活产生的生活垃圾。</w:t>
      </w:r>
    </w:p>
    <w:p>
      <w:pPr>
        <w:pStyle w:val="3"/>
        <w:adjustRightInd w:val="0"/>
        <w:snapToGrid w:val="0"/>
        <w:spacing w:line="360" w:lineRule="auto"/>
        <w:ind w:right="-88"/>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其中，边角余料和木芯外售，办公生活垃圾收集后由环卫部门统一清运，无害化处理。</w:t>
      </w:r>
    </w:p>
    <w:p>
      <w:pPr>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四、验收监测结果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（一）环保设施运行检测结果</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山东聊和环保科技有限公司出具的《东阿县昌河木业有限公司木材加工项目竣工环境保护验收监测报告》监测结果表明：</w:t>
      </w:r>
    </w:p>
    <w:p>
      <w:pPr>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1.废气</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验收监测期间，无组织颗粒物最高排放浓度为0.207mg/m</w:t>
      </w:r>
      <w:r>
        <w:rPr>
          <w:rFonts w:hint="eastAsia" w:ascii="楷体" w:hAnsi="楷体" w:eastAsia="楷体" w:cs="楷体"/>
          <w:kern w:val="2"/>
          <w:sz w:val="28"/>
          <w:szCs w:val="28"/>
          <w:vertAlign w:val="superscript"/>
          <w:lang w:val="en-US" w:eastAsia="zh-CN" w:bidi="ar-SA"/>
        </w:rPr>
        <w:t>3</w:t>
      </w:r>
      <w:r>
        <w:rPr>
          <w:rFonts w:hint="eastAsia" w:ascii="楷体" w:hAnsi="楷体" w:eastAsia="楷体" w:cs="楷体"/>
          <w:kern w:val="2"/>
          <w:sz w:val="28"/>
          <w:szCs w:val="28"/>
          <w:lang w:val="en-US" w:eastAsia="zh-CN" w:bidi="ar-SA"/>
        </w:rPr>
        <w:t>，满足《大气污染物综合排放标准》GB16297-1996）表2中的无组织排放标准要求。</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2、噪声</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验收监测期间，厂区周围监测点位昼间噪声在54.9dB(A)-57.8dB(A)之间，符合《工业企业厂界环境噪声排放标准》（GB12348－2008）中的2类标准限值。</w:t>
      </w:r>
    </w:p>
    <w:p>
      <w:pPr>
        <w:pStyle w:val="3"/>
        <w:numPr>
          <w:ilvl w:val="0"/>
          <w:numId w:val="2"/>
        </w:numPr>
        <w:adjustRightInd w:val="0"/>
        <w:snapToGrid w:val="0"/>
        <w:spacing w:line="360" w:lineRule="auto"/>
        <w:ind w:right="-88"/>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固废</w:t>
      </w:r>
    </w:p>
    <w:p>
      <w:pPr>
        <w:pStyle w:val="17"/>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本</w:t>
      </w:r>
      <w:r>
        <w:rPr>
          <w:rFonts w:hint="eastAsia" w:ascii="楷体" w:hAnsi="楷体" w:eastAsia="楷体" w:cs="楷体"/>
          <w:kern w:val="2"/>
          <w:sz w:val="28"/>
          <w:szCs w:val="28"/>
          <w:lang w:val="en-US" w:eastAsia="zh-CN" w:bidi="ar-SA"/>
        </w:rPr>
        <w:t>项目固废主要为边角余料、木芯和职工办公、生活产生的生活垃圾。</w:t>
      </w:r>
    </w:p>
    <w:p>
      <w:pPr>
        <w:spacing w:line="360" w:lineRule="auto"/>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其中，边角余料和木芯外售，办公生活垃圾收集后由环卫部门统一清运，无害化处理。</w:t>
      </w:r>
    </w:p>
    <w:p>
      <w:pPr>
        <w:spacing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lang w:eastAsia="zh-CN"/>
        </w:rPr>
        <w:t>东阿县昌河木业有限公司</w:t>
      </w:r>
      <w:r>
        <w:rPr>
          <w:rFonts w:hint="eastAsia" w:ascii="楷体" w:hAnsi="楷体" w:eastAsia="楷体" w:cs="楷体"/>
          <w:color w:val="000000"/>
          <w:sz w:val="28"/>
          <w:szCs w:val="28"/>
        </w:rPr>
        <w:t>制定了《</w:t>
      </w:r>
      <w:r>
        <w:rPr>
          <w:rFonts w:hint="eastAsia" w:ascii="楷体" w:hAnsi="楷体" w:eastAsia="楷体" w:cs="楷体"/>
          <w:color w:val="000000"/>
          <w:sz w:val="28"/>
          <w:szCs w:val="28"/>
          <w:lang w:eastAsia="zh-CN"/>
        </w:rPr>
        <w:t>东阿县昌河木业有限公司</w:t>
      </w:r>
      <w:r>
        <w:rPr>
          <w:rFonts w:hint="eastAsia" w:ascii="楷体" w:hAnsi="楷体" w:eastAsia="楷体" w:cs="楷体"/>
          <w:color w:val="000000"/>
          <w:sz w:val="28"/>
          <w:szCs w:val="28"/>
        </w:rPr>
        <w:t>环保管理制度》,并设立了相关机构。日常工作由工程部门归口管理，其主要职责是：行使公司环保工作的计划、组织、指挥、协调、检查和考核管理职能，日常一切工作须对公司负责。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在今后企业环保工作中，建议企业落实以下要求。</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1、加强文本制作质量，审核关于废气检测数据、设备清单、实际投资金额及工艺流程内容，使文本内容真实可靠，进一步完善、核实验收检测报告。</w:t>
      </w:r>
    </w:p>
    <w:p>
      <w:pPr>
        <w:spacing w:line="360" w:lineRule="auto"/>
        <w:ind w:firstLine="420" w:firstLineChars="150"/>
        <w:jc w:val="left"/>
        <w:rPr>
          <w:rFonts w:hint="eastAsia" w:ascii="楷体" w:hAnsi="楷体" w:eastAsia="楷体" w:cs="楷体"/>
          <w:sz w:val="28"/>
          <w:szCs w:val="28"/>
          <w:lang w:eastAsia="zh-CN"/>
        </w:rPr>
      </w:pPr>
      <w:r>
        <w:rPr>
          <w:rFonts w:hint="eastAsia" w:ascii="楷体" w:hAnsi="楷体" w:eastAsia="楷体" w:cs="楷体"/>
          <w:sz w:val="28"/>
          <w:szCs w:val="28"/>
        </w:rPr>
        <w:t>2、</w:t>
      </w:r>
      <w:r>
        <w:rPr>
          <w:rFonts w:hint="eastAsia" w:ascii="楷体" w:hAnsi="楷体" w:eastAsia="楷体" w:cs="楷体"/>
          <w:sz w:val="28"/>
          <w:szCs w:val="28"/>
          <w:lang w:eastAsia="zh-CN"/>
        </w:rPr>
        <w:t>注意清洁生产。</w:t>
      </w:r>
    </w:p>
    <w:p>
      <w:pPr>
        <w:pStyle w:val="2"/>
        <w:ind w:left="0" w:leftChars="0" w:firstLine="420" w:firstLineChars="150"/>
        <w:rPr>
          <w:rFonts w:hint="eastAsia" w:ascii="楷体" w:hAnsi="楷体" w:eastAsia="楷体" w:cs="楷体"/>
          <w:kern w:val="2"/>
          <w:sz w:val="28"/>
          <w:szCs w:val="28"/>
          <w:lang w:val="en-US" w:eastAsia="zh-CN" w:bidi="ar-SA"/>
        </w:rPr>
      </w:pPr>
      <w:r>
        <w:rPr>
          <w:rFonts w:hint="eastAsia" w:ascii="楷体" w:hAnsi="楷体" w:eastAsia="楷体" w:cs="楷体"/>
          <w:sz w:val="28"/>
          <w:szCs w:val="28"/>
          <w:lang w:val="en-US" w:eastAsia="zh-CN"/>
        </w:rPr>
        <w:t>3、</w:t>
      </w:r>
      <w:r>
        <w:rPr>
          <w:rFonts w:hint="eastAsia" w:ascii="楷体" w:hAnsi="楷体" w:eastAsia="楷体" w:cs="楷体"/>
          <w:sz w:val="28"/>
          <w:szCs w:val="28"/>
          <w:lang w:eastAsia="zh-CN"/>
        </w:rPr>
        <w:t>车间地面硬化，及时清理下脚料。</w:t>
      </w:r>
    </w:p>
    <w:p>
      <w:pPr>
        <w:pStyle w:val="9"/>
        <w:numPr>
          <w:ilvl w:val="0"/>
          <w:numId w:val="3"/>
        </w:numPr>
        <w:ind w:firstLine="280" w:firstLineChars="100"/>
        <w:rPr>
          <w:rFonts w:hint="default" w:ascii="楷体" w:hAnsi="楷体" w:eastAsia="楷体" w:cs="楷体"/>
          <w:sz w:val="28"/>
          <w:szCs w:val="28"/>
        </w:rPr>
      </w:pPr>
      <w:r>
        <w:rPr>
          <w:rFonts w:ascii="楷体" w:hAnsi="楷体" w:eastAsia="楷体" w:cs="楷体"/>
          <w:sz w:val="28"/>
          <w:szCs w:val="28"/>
        </w:rPr>
        <w:t>现场整改照片：</w:t>
      </w:r>
    </w:p>
    <w:p>
      <w:pPr>
        <w:pStyle w:val="9"/>
        <w:numPr>
          <w:numId w:val="0"/>
        </w:numPr>
        <w:jc w:val="center"/>
        <w:rPr>
          <w:rFonts w:hint="eastAsia" w:ascii="楷体" w:hAnsi="楷体" w:eastAsia="楷体" w:cs="楷体"/>
          <w:sz w:val="28"/>
          <w:szCs w:val="28"/>
          <w:lang w:eastAsia="zh-CN"/>
        </w:rPr>
      </w:pPr>
      <w:bookmarkStart w:id="0" w:name="_GoBack"/>
      <w:r>
        <w:rPr>
          <w:rFonts w:hint="eastAsia" w:ascii="楷体" w:hAnsi="楷体" w:eastAsia="楷体" w:cs="楷体"/>
          <w:sz w:val="28"/>
          <w:szCs w:val="28"/>
          <w:lang w:eastAsia="zh-CN"/>
        </w:rPr>
        <w:drawing>
          <wp:inline distT="0" distB="0" distL="114300" distR="114300">
            <wp:extent cx="3818890" cy="5092065"/>
            <wp:effectExtent l="0" t="0" r="10160" b="13335"/>
            <wp:docPr id="1" name="图片 1" descr="微信图片_20180831163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80831163536"/>
                    <pic:cNvPicPr>
                      <a:picLocks noChangeAspect="1"/>
                    </pic:cNvPicPr>
                  </pic:nvPicPr>
                  <pic:blipFill>
                    <a:blip r:embed="rId4"/>
                    <a:stretch>
                      <a:fillRect/>
                    </a:stretch>
                  </pic:blipFill>
                  <pic:spPr>
                    <a:xfrm>
                      <a:off x="0" y="0"/>
                      <a:ext cx="3818890" cy="5092065"/>
                    </a:xfrm>
                    <a:prstGeom prst="rect">
                      <a:avLst/>
                    </a:prstGeom>
                  </pic:spPr>
                </pic:pic>
              </a:graphicData>
            </a:graphic>
          </wp:inline>
        </w:drawing>
      </w:r>
      <w:bookmarkEnd w:id="0"/>
    </w:p>
    <w:p>
      <w:pPr>
        <w:spacing w:line="360" w:lineRule="auto"/>
        <w:jc w:val="center"/>
        <w:rPr>
          <w:rFonts w:hint="eastAsia" w:ascii="楷体" w:hAnsi="楷体" w:eastAsia="楷体" w:cs="楷体"/>
          <w:sz w:val="28"/>
          <w:szCs w:val="28"/>
          <w:lang w:eastAsia="zh-CN"/>
        </w:rPr>
      </w:pPr>
    </w:p>
    <w:p>
      <w:pPr>
        <w:pStyle w:val="9"/>
        <w:rPr>
          <w:rFonts w:hint="default" w:ascii="楷体" w:hAnsi="楷体" w:eastAsia="楷体" w:cs="楷体"/>
          <w:sz w:val="28"/>
          <w:szCs w:val="28"/>
        </w:rPr>
      </w:pP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七、验收结论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ascii="楷体" w:hAnsi="楷体" w:eastAsia="楷体" w:cs="楷体"/>
          <w:sz w:val="28"/>
          <w:szCs w:val="28"/>
        </w:rPr>
      </w:pPr>
      <w:r>
        <w:rPr>
          <w:rFonts w:hint="eastAsia" w:ascii="楷体" w:hAnsi="楷体" w:eastAsia="楷体" w:cs="楷体"/>
          <w:sz w:val="28"/>
          <w:szCs w:val="28"/>
        </w:rPr>
        <w:t xml:space="preserve">                          </w:t>
      </w:r>
      <w:r>
        <w:rPr>
          <w:rFonts w:hint="eastAsia" w:ascii="楷体" w:hAnsi="楷体" w:eastAsia="楷体" w:cs="楷体"/>
          <w:sz w:val="28"/>
          <w:szCs w:val="28"/>
          <w:lang w:eastAsia="zh-CN"/>
        </w:rPr>
        <w:t>东阿县昌河木业有限公司</w:t>
      </w:r>
      <w:r>
        <w:rPr>
          <w:rFonts w:hint="eastAsia" w:ascii="楷体" w:hAnsi="楷体" w:eastAsia="楷体" w:cs="楷体"/>
          <w:sz w:val="28"/>
          <w:szCs w:val="28"/>
        </w:rPr>
        <w:t>验收组</w:t>
      </w:r>
    </w:p>
    <w:p>
      <w:pPr>
        <w:spacing w:line="360" w:lineRule="auto"/>
        <w:jc w:val="right"/>
      </w:pPr>
      <w:r>
        <w:rPr>
          <w:rFonts w:hint="eastAsia" w:ascii="楷体" w:hAnsi="楷体" w:eastAsia="楷体" w:cs="楷体"/>
          <w:sz w:val="28"/>
          <w:szCs w:val="28"/>
        </w:rPr>
        <w:t xml:space="preserve">                                2018年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30</w:t>
      </w:r>
      <w:r>
        <w:rPr>
          <w:rFonts w:hint="eastAsia" w:ascii="楷体" w:hAnsi="楷体" w:eastAsia="楷体" w:cs="楷体"/>
          <w:sz w:val="28"/>
          <w:szCs w:val="28"/>
        </w:rPr>
        <w:t xml:space="preserve">日 </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8FDC51"/>
    <w:multiLevelType w:val="singleLevel"/>
    <w:tmpl w:val="CF8FDC51"/>
    <w:lvl w:ilvl="0" w:tentative="0">
      <w:start w:val="3"/>
      <w:numFmt w:val="decimal"/>
      <w:suff w:val="nothing"/>
      <w:lvlText w:val="%1、"/>
      <w:lvlJc w:val="left"/>
    </w:lvl>
  </w:abstractNum>
  <w:abstractNum w:abstractNumId="1">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2">
    <w:nsid w:val="5B0E1076"/>
    <w:multiLevelType w:val="singleLevel"/>
    <w:tmpl w:val="5B0E1076"/>
    <w:lvl w:ilvl="0" w:tentative="0">
      <w:start w:val="6"/>
      <w:numFmt w:val="chineseCounting"/>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15DD7"/>
    <w:rsid w:val="00057AE6"/>
    <w:rsid w:val="00062BC5"/>
    <w:rsid w:val="000C4E79"/>
    <w:rsid w:val="001777C5"/>
    <w:rsid w:val="0021059E"/>
    <w:rsid w:val="00216D12"/>
    <w:rsid w:val="0026170E"/>
    <w:rsid w:val="002C493C"/>
    <w:rsid w:val="00340B0A"/>
    <w:rsid w:val="00364672"/>
    <w:rsid w:val="003D58AD"/>
    <w:rsid w:val="0040329E"/>
    <w:rsid w:val="00574C7A"/>
    <w:rsid w:val="005A4A68"/>
    <w:rsid w:val="005E5F6F"/>
    <w:rsid w:val="00601A89"/>
    <w:rsid w:val="00617CA2"/>
    <w:rsid w:val="0063240F"/>
    <w:rsid w:val="006B4E83"/>
    <w:rsid w:val="006D600D"/>
    <w:rsid w:val="00704C1C"/>
    <w:rsid w:val="00752F3F"/>
    <w:rsid w:val="007621BC"/>
    <w:rsid w:val="007B286E"/>
    <w:rsid w:val="007E23B4"/>
    <w:rsid w:val="007F2189"/>
    <w:rsid w:val="007F513F"/>
    <w:rsid w:val="008D13B7"/>
    <w:rsid w:val="008F366D"/>
    <w:rsid w:val="00965CD8"/>
    <w:rsid w:val="009722EA"/>
    <w:rsid w:val="009A73D2"/>
    <w:rsid w:val="009E04DC"/>
    <w:rsid w:val="00A21740"/>
    <w:rsid w:val="00A24CA0"/>
    <w:rsid w:val="00A36E7B"/>
    <w:rsid w:val="00A411AF"/>
    <w:rsid w:val="00B0594C"/>
    <w:rsid w:val="00BC7155"/>
    <w:rsid w:val="00CC379B"/>
    <w:rsid w:val="00CF7AD8"/>
    <w:rsid w:val="00D6473E"/>
    <w:rsid w:val="00E3735B"/>
    <w:rsid w:val="00EF0FDC"/>
    <w:rsid w:val="00F056C7"/>
    <w:rsid w:val="00F45902"/>
    <w:rsid w:val="00FC25EE"/>
    <w:rsid w:val="00FE23E9"/>
    <w:rsid w:val="00FF647F"/>
    <w:rsid w:val="04334B5D"/>
    <w:rsid w:val="080C1189"/>
    <w:rsid w:val="08516DB8"/>
    <w:rsid w:val="0B3710F6"/>
    <w:rsid w:val="0D271F8C"/>
    <w:rsid w:val="11C63CC0"/>
    <w:rsid w:val="1887595F"/>
    <w:rsid w:val="188E2022"/>
    <w:rsid w:val="1A1158EF"/>
    <w:rsid w:val="1B5934FA"/>
    <w:rsid w:val="1EB23C92"/>
    <w:rsid w:val="2F45678C"/>
    <w:rsid w:val="2FA55A34"/>
    <w:rsid w:val="3398641F"/>
    <w:rsid w:val="3BA24A74"/>
    <w:rsid w:val="3C9D29D7"/>
    <w:rsid w:val="3E407687"/>
    <w:rsid w:val="3E5C226F"/>
    <w:rsid w:val="40516DBF"/>
    <w:rsid w:val="49387C4F"/>
    <w:rsid w:val="55424CCC"/>
    <w:rsid w:val="59581022"/>
    <w:rsid w:val="5C687BD7"/>
    <w:rsid w:val="64D951B9"/>
    <w:rsid w:val="6C935275"/>
    <w:rsid w:val="6D9571D4"/>
    <w:rsid w:val="74234EB6"/>
    <w:rsid w:val="747F6622"/>
    <w:rsid w:val="793830B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Body Text Indent"/>
    <w:basedOn w:val="1"/>
    <w:qFormat/>
    <w:uiPriority w:val="0"/>
    <w:pPr>
      <w:ind w:right="-100" w:firstLine="560" w:firstLineChars="200"/>
    </w:pPr>
    <w:rPr>
      <w:sz w:val="28"/>
    </w:rPr>
  </w:style>
  <w:style w:type="paragraph" w:styleId="4">
    <w:name w:val="Balloon Text"/>
    <w:basedOn w:val="1"/>
    <w:link w:val="16"/>
    <w:semiHidden/>
    <w:unhideWhenUsed/>
    <w:qFormat/>
    <w:uiPriority w:val="99"/>
    <w:rPr>
      <w:sz w:val="18"/>
      <w:szCs w:val="18"/>
    </w:rPr>
  </w:style>
  <w:style w:type="paragraph" w:styleId="5">
    <w:name w:val="footer"/>
    <w:basedOn w:val="1"/>
    <w:link w:val="11"/>
    <w:semiHidden/>
    <w:qFormat/>
    <w:uiPriority w:val="99"/>
    <w:pPr>
      <w:tabs>
        <w:tab w:val="center" w:pos="4153"/>
        <w:tab w:val="right" w:pos="8306"/>
      </w:tabs>
      <w:snapToGrid w:val="0"/>
      <w:jc w:val="left"/>
    </w:pPr>
    <w:rPr>
      <w:sz w:val="18"/>
      <w:szCs w:val="18"/>
    </w:rPr>
  </w:style>
  <w:style w:type="paragraph" w:styleId="6">
    <w:name w:val="header"/>
    <w:basedOn w:val="1"/>
    <w:link w:val="10"/>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0">
    <w:name w:val="页眉 Char"/>
    <w:basedOn w:val="7"/>
    <w:link w:val="6"/>
    <w:semiHidden/>
    <w:qFormat/>
    <w:locked/>
    <w:uiPriority w:val="99"/>
    <w:rPr>
      <w:rFonts w:cs="Times New Roman"/>
      <w:sz w:val="18"/>
      <w:szCs w:val="18"/>
    </w:rPr>
  </w:style>
  <w:style w:type="character" w:customStyle="1" w:styleId="11">
    <w:name w:val="页脚 Char"/>
    <w:basedOn w:val="7"/>
    <w:link w:val="5"/>
    <w:semiHidden/>
    <w:qFormat/>
    <w:locked/>
    <w:uiPriority w:val="99"/>
    <w:rPr>
      <w:rFonts w:cs="Times New Roman"/>
      <w:sz w:val="18"/>
      <w:szCs w:val="18"/>
    </w:rPr>
  </w:style>
  <w:style w:type="paragraph" w:styleId="12">
    <w:name w:val="List Paragraph"/>
    <w:basedOn w:val="1"/>
    <w:qFormat/>
    <w:uiPriority w:val="99"/>
    <w:pPr>
      <w:ind w:firstLine="420" w:firstLineChars="200"/>
    </w:pPr>
  </w:style>
  <w:style w:type="character" w:customStyle="1" w:styleId="13">
    <w:name w:val="正1 Char"/>
    <w:link w:val="14"/>
    <w:qFormat/>
    <w:locked/>
    <w:uiPriority w:val="99"/>
    <w:rPr>
      <w:rFonts w:eastAsia="楷体_GB2312"/>
      <w:sz w:val="24"/>
    </w:rPr>
  </w:style>
  <w:style w:type="paragraph" w:customStyle="1" w:styleId="14">
    <w:name w:val="正1"/>
    <w:basedOn w:val="1"/>
    <w:link w:val="13"/>
    <w:qFormat/>
    <w:uiPriority w:val="99"/>
    <w:pPr>
      <w:spacing w:line="360" w:lineRule="auto"/>
      <w:ind w:firstLine="200" w:firstLineChars="200"/>
      <w:jc w:val="left"/>
    </w:pPr>
    <w:rPr>
      <w:rFonts w:ascii="Calibri" w:hAnsi="Calibri" w:eastAsia="楷体_GB2312"/>
      <w:kern w:val="0"/>
      <w:sz w:val="24"/>
    </w:rPr>
  </w:style>
  <w:style w:type="paragraph" w:customStyle="1" w:styleId="15">
    <w:name w:val="Char Char Char Char Char Char Char"/>
    <w:basedOn w:val="1"/>
    <w:qFormat/>
    <w:uiPriority w:val="99"/>
  </w:style>
  <w:style w:type="character" w:customStyle="1" w:styleId="16">
    <w:name w:val="批注框文本 Char"/>
    <w:basedOn w:val="7"/>
    <w:link w:val="4"/>
    <w:semiHidden/>
    <w:qFormat/>
    <w:uiPriority w:val="99"/>
    <w:rPr>
      <w:rFonts w:ascii="Times New Roman" w:hAnsi="Times New Roman"/>
      <w:kern w:val="2"/>
      <w:sz w:val="18"/>
      <w:szCs w:val="18"/>
    </w:rPr>
  </w:style>
  <w:style w:type="paragraph" w:customStyle="1" w:styleId="17">
    <w:name w:val="ZW正文"/>
    <w:basedOn w:val="1"/>
    <w:qFormat/>
    <w:uiPriority w:val="0"/>
    <w:pPr>
      <w:spacing w:line="500" w:lineRule="exact"/>
      <w:ind w:firstLine="48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327</Words>
  <Characters>1864</Characters>
  <Lines>15</Lines>
  <Paragraphs>4</Paragraphs>
  <TotalTime>5</TotalTime>
  <ScaleCrop>false</ScaleCrop>
  <LinksUpToDate>false</LinksUpToDate>
  <CharactersWithSpaces>2187</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Time±</cp:lastModifiedBy>
  <dcterms:modified xsi:type="dcterms:W3CDTF">2018-09-02T05:45:20Z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