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eastAsia" w:ascii="楷体_GB2312" w:eastAsia="楷体_GB2312"/>
          <w:b/>
          <w:sz w:val="28"/>
          <w:szCs w:val="28"/>
          <w:lang w:val="en-US" w:eastAsia="zh-CN"/>
        </w:rPr>
      </w:pPr>
      <w:r>
        <w:rPr>
          <w:rFonts w:hint="eastAsia" w:ascii="楷体_GB2312" w:eastAsia="楷体_GB2312"/>
          <w:b/>
          <w:sz w:val="28"/>
          <w:szCs w:val="28"/>
          <w:lang w:val="en-US" w:eastAsia="zh-CN"/>
        </w:rPr>
        <w:t>东阿广宇精辗轴承有限公司年加工200万套轴承套圈项目（一期：100万套）</w:t>
      </w:r>
    </w:p>
    <w:p>
      <w:pPr>
        <w:tabs>
          <w:tab w:val="left" w:pos="360"/>
        </w:tabs>
        <w:spacing w:line="360" w:lineRule="auto"/>
        <w:ind w:left="298" w:leftChars="142"/>
        <w:jc w:val="center"/>
        <w:rPr>
          <w:rFonts w:ascii="楷体_GB2312" w:eastAsia="楷体_GB2312"/>
          <w:b/>
          <w:sz w:val="30"/>
          <w:szCs w:val="30"/>
        </w:rPr>
      </w:pPr>
      <w:r>
        <w:rPr>
          <w:rFonts w:hint="eastAsia" w:ascii="楷体_GB2312" w:eastAsia="楷体_GB2312"/>
          <w:b/>
          <w:sz w:val="28"/>
          <w:szCs w:val="28"/>
          <w:lang w:val="en-US" w:eastAsia="zh-CN"/>
        </w:rPr>
        <w:t>竣工</w:t>
      </w:r>
      <w:r>
        <w:rPr>
          <w:rFonts w:hint="eastAsia" w:ascii="楷体_GB2312" w:eastAsia="楷体_GB2312"/>
          <w:b/>
          <w:sz w:val="28"/>
          <w:szCs w:val="28"/>
        </w:rPr>
        <w:t>环境保护验收现场检查及验收工作组验收意见</w:t>
      </w:r>
    </w:p>
    <w:p>
      <w:pPr>
        <w:tabs>
          <w:tab w:val="left" w:pos="360"/>
        </w:tabs>
        <w:spacing w:line="360" w:lineRule="auto"/>
        <w:ind w:left="298" w:leftChars="142"/>
        <w:jc w:val="left"/>
        <w:rPr>
          <w:rFonts w:ascii="楷体_GB2312" w:hAnsi="宋体" w:eastAsia="楷体_GB2312"/>
          <w:sz w:val="28"/>
          <w:szCs w:val="28"/>
        </w:rPr>
      </w:pPr>
      <w:r>
        <w:rPr>
          <w:rFonts w:ascii="楷体_GB2312" w:hAnsi="宋体" w:eastAsia="楷体_GB2312"/>
          <w:sz w:val="28"/>
          <w:szCs w:val="28"/>
        </w:rPr>
        <w:t xml:space="preserve">     </w:t>
      </w:r>
      <w:r>
        <w:rPr>
          <w:rFonts w:ascii="楷体_GB2312" w:hAnsi="宋体" w:eastAsia="楷体_GB2312"/>
          <w:sz w:val="28"/>
          <w:szCs w:val="28"/>
          <w:highlight w:val="none"/>
        </w:rPr>
        <w:t>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8</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24</w:t>
      </w:r>
      <w:r>
        <w:rPr>
          <w:rFonts w:hint="eastAsia" w:ascii="楷体_GB2312" w:hAnsi="宋体" w:eastAsia="楷体_GB2312"/>
          <w:sz w:val="28"/>
          <w:szCs w:val="28"/>
          <w:highlight w:val="none"/>
        </w:rPr>
        <w:t>日</w:t>
      </w:r>
      <w:r>
        <w:rPr>
          <w:rFonts w:hint="eastAsia" w:ascii="楷体_GB2312" w:hAnsi="宋体" w:eastAsia="楷体_GB2312"/>
          <w:sz w:val="28"/>
          <w:szCs w:val="28"/>
        </w:rPr>
        <w:t>，</w:t>
      </w:r>
      <w:r>
        <w:rPr>
          <w:rFonts w:hint="eastAsia" w:ascii="楷体_GB2312" w:hAnsi="宋体" w:eastAsia="楷体_GB2312"/>
          <w:sz w:val="28"/>
          <w:szCs w:val="28"/>
          <w:lang w:val="en-US" w:eastAsia="zh-CN"/>
        </w:rPr>
        <w:t>东阿广宇精辗轴承有限公司</w:t>
      </w:r>
      <w:r>
        <w:rPr>
          <w:rFonts w:hint="eastAsia" w:ascii="楷体_GB2312" w:hAnsi="宋体" w:eastAsia="楷体_GB2312"/>
          <w:sz w:val="28"/>
          <w:szCs w:val="28"/>
          <w:highlight w:val="none"/>
        </w:rPr>
        <w:t>组织召开</w:t>
      </w:r>
      <w:r>
        <w:rPr>
          <w:rFonts w:hint="eastAsia" w:ascii="楷体_GB2312" w:hAnsi="宋体" w:eastAsia="楷体_GB2312"/>
          <w:sz w:val="28"/>
          <w:szCs w:val="28"/>
          <w:highlight w:val="none"/>
          <w:lang w:val="en-US" w:eastAsia="zh-CN"/>
        </w:rPr>
        <w:t>年加工200万套轴承套圈项目（一期：100万套）</w:t>
      </w:r>
      <w:r>
        <w:rPr>
          <w:rFonts w:hint="eastAsia" w:ascii="楷体_GB2312" w:hAnsi="宋体" w:eastAsia="楷体_GB2312"/>
          <w:sz w:val="28"/>
          <w:szCs w:val="28"/>
          <w:highlight w:val="none"/>
        </w:rPr>
        <w:t>竣</w:t>
      </w:r>
      <w:r>
        <w:rPr>
          <w:rFonts w:hint="eastAsia" w:ascii="楷体_GB2312" w:hAnsi="宋体" w:eastAsia="楷体_GB2312"/>
          <w:sz w:val="28"/>
          <w:szCs w:val="28"/>
        </w:rPr>
        <w:t>工环境保护验收现场检查及验收及验收会。验收工作组由工程建设单位（</w:t>
      </w:r>
      <w:r>
        <w:rPr>
          <w:rFonts w:hint="eastAsia" w:ascii="楷体_GB2312" w:hAnsi="宋体" w:eastAsia="楷体_GB2312"/>
          <w:sz w:val="28"/>
          <w:szCs w:val="28"/>
          <w:lang w:val="en-US" w:eastAsia="zh-CN"/>
        </w:rPr>
        <w:t>东阿广宇精辗轴承有限公司</w:t>
      </w:r>
      <w:r>
        <w:rPr>
          <w:rFonts w:hint="eastAsia" w:ascii="楷体_GB2312" w:hAnsi="宋体" w:eastAsia="楷体_GB2312"/>
          <w:sz w:val="28"/>
          <w:szCs w:val="28"/>
        </w:rPr>
        <w:t>）、环评单位（</w:t>
      </w:r>
      <w:r>
        <w:rPr>
          <w:rFonts w:hint="eastAsia" w:ascii="楷体" w:hAnsi="楷体" w:eastAsia="楷体" w:cs="楷体"/>
          <w:color w:val="auto"/>
          <w:sz w:val="28"/>
          <w:szCs w:val="28"/>
          <w:lang w:val="en-US" w:eastAsia="zh-CN"/>
        </w:rPr>
        <w:t>青岛洁瑞环保技术服务有限公司</w:t>
      </w:r>
      <w:r>
        <w:rPr>
          <w:rFonts w:hint="eastAsia" w:ascii="楷体_GB2312" w:hAnsi="宋体" w:eastAsia="楷体_GB2312"/>
          <w:sz w:val="28"/>
          <w:szCs w:val="28"/>
        </w:rPr>
        <w:t>）、监测单位（</w:t>
      </w:r>
      <w:r>
        <w:rPr>
          <w:rFonts w:hint="eastAsia" w:ascii="楷体_GB2312" w:hAnsi="宋体" w:eastAsia="楷体_GB2312"/>
          <w:sz w:val="28"/>
          <w:szCs w:val="28"/>
          <w:lang w:eastAsia="zh-CN"/>
        </w:rPr>
        <w:t>山东聊和环保科技有限公司</w:t>
      </w:r>
      <w:r>
        <w:rPr>
          <w:rFonts w:hint="eastAsia" w:ascii="楷体_GB2312" w:hAnsi="宋体" w:eastAsia="楷体_GB2312"/>
          <w:sz w:val="28"/>
          <w:szCs w:val="28"/>
        </w:rPr>
        <w:t>）并特邀</w:t>
      </w:r>
      <w:r>
        <w:rPr>
          <w:rFonts w:hint="eastAsia" w:ascii="楷体_GB2312" w:hAnsi="宋体" w:eastAsia="楷体_GB2312"/>
          <w:sz w:val="28"/>
          <w:szCs w:val="28"/>
          <w:lang w:val="en-US" w:eastAsia="zh-CN"/>
        </w:rPr>
        <w:t>2</w:t>
      </w:r>
      <w:r>
        <w:rPr>
          <w:rFonts w:hint="eastAsia" w:ascii="楷体_GB2312" w:hAnsi="宋体" w:eastAsia="楷体_GB2312"/>
          <w:sz w:val="28"/>
          <w:szCs w:val="28"/>
        </w:rPr>
        <w:t>名技术专家（名单附后）组成。</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360"/>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一、工程建设基本情况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（一）建设地点、规模、主要建设内容</w:t>
      </w:r>
    </w:p>
    <w:p>
      <w:pPr>
        <w:pStyle w:val="3"/>
        <w:numPr>
          <w:ilvl w:val="0"/>
          <w:numId w:val="0"/>
        </w:numPr>
        <w:spacing w:line="360" w:lineRule="auto"/>
        <w:ind w:left="0" w:leftChars="0" w:firstLine="840" w:firstLineChars="300"/>
        <w:rPr>
          <w:rFonts w:hint="eastAsia" w:ascii="楷体" w:hAnsi="楷体" w:eastAsia="楷体" w:cs="楷体"/>
          <w:sz w:val="28"/>
          <w:szCs w:val="28"/>
        </w:rPr>
      </w:pPr>
      <w:r>
        <w:rPr>
          <w:rFonts w:hint="eastAsia" w:ascii="楷体_GB2312" w:hAnsi="宋体" w:eastAsia="楷体_GB2312"/>
          <w:sz w:val="28"/>
          <w:szCs w:val="28"/>
        </w:rPr>
        <w:t>项目建设地点</w:t>
      </w:r>
      <w:r>
        <w:rPr>
          <w:rFonts w:hint="eastAsia" w:ascii="楷体_GB2312" w:hAnsi="宋体" w:eastAsia="楷体_GB2312"/>
          <w:sz w:val="28"/>
          <w:szCs w:val="28"/>
          <w:lang w:eastAsia="zh-CN"/>
        </w:rPr>
        <w:t>位于东阿县新城办事处S324道以西、S329道以北约720米处</w:t>
      </w:r>
      <w:r>
        <w:rPr>
          <w:rFonts w:hint="eastAsia" w:ascii="楷体_GB2312" w:hAnsi="宋体" w:eastAsia="楷体_GB2312"/>
          <w:sz w:val="28"/>
          <w:szCs w:val="28"/>
          <w:lang w:val="en-US" w:eastAsia="zh-CN"/>
        </w:rPr>
        <w:t>。项目</w:t>
      </w:r>
      <w:r>
        <w:rPr>
          <w:rFonts w:hint="eastAsia" w:ascii="楷体_GB2312" w:hAnsi="宋体" w:eastAsia="楷体_GB2312"/>
          <w:sz w:val="28"/>
          <w:szCs w:val="28"/>
          <w:lang w:eastAsia="zh-CN"/>
        </w:rPr>
        <w:t>总投资</w:t>
      </w:r>
      <w:r>
        <w:rPr>
          <w:rFonts w:hint="eastAsia" w:ascii="楷体_GB2312" w:hAnsi="宋体" w:eastAsia="楷体_GB2312"/>
          <w:sz w:val="28"/>
          <w:szCs w:val="28"/>
          <w:lang w:val="en-US" w:eastAsia="zh-CN"/>
        </w:rPr>
        <w:t>18.5万元，</w:t>
      </w:r>
      <w:r>
        <w:rPr>
          <w:rFonts w:hint="eastAsia" w:ascii="楷体_GB2312" w:hAnsi="宋体" w:eastAsia="楷体_GB2312"/>
          <w:sz w:val="28"/>
          <w:szCs w:val="28"/>
        </w:rPr>
        <w:t>占地</w:t>
      </w:r>
      <w:r>
        <w:rPr>
          <w:rFonts w:hint="eastAsia" w:ascii="楷体_GB2312" w:hAnsi="宋体" w:eastAsia="楷体_GB2312"/>
          <w:sz w:val="28"/>
          <w:szCs w:val="28"/>
          <w:lang w:eastAsia="zh-CN"/>
        </w:rPr>
        <w:t>面积</w:t>
      </w:r>
      <w:r>
        <w:rPr>
          <w:rFonts w:hint="eastAsia" w:ascii="楷体_GB2312" w:hAnsi="宋体" w:eastAsia="楷体_GB2312"/>
          <w:sz w:val="28"/>
          <w:szCs w:val="28"/>
          <w:lang w:val="en-US" w:eastAsia="zh-CN"/>
        </w:rPr>
        <w:t>19578m</w:t>
      </w:r>
      <w:r>
        <w:rPr>
          <w:rFonts w:hint="default" w:ascii="楷体_GB2312" w:hAnsi="宋体" w:eastAsia="楷体_GB2312"/>
          <w:sz w:val="28"/>
          <w:szCs w:val="28"/>
          <w:vertAlign w:val="superscript"/>
        </w:rPr>
        <w:t>2</w:t>
      </w:r>
      <w:r>
        <w:rPr>
          <w:rFonts w:hint="eastAsia" w:ascii="楷体_GB2312" w:hAnsi="宋体" w:eastAsia="楷体_GB2312"/>
          <w:sz w:val="28"/>
          <w:szCs w:val="28"/>
          <w:lang w:eastAsia="zh-CN"/>
        </w:rPr>
        <w:t>。建设</w:t>
      </w:r>
      <w:r>
        <w:rPr>
          <w:rFonts w:hint="eastAsia" w:ascii="楷体_GB2312" w:hAnsi="宋体" w:eastAsia="楷体_GB2312"/>
          <w:sz w:val="28"/>
          <w:szCs w:val="28"/>
          <w:lang w:val="en-US" w:eastAsia="zh-CN"/>
        </w:rPr>
        <w:t>年加工200万套轴承套圈项目（一期：100万套），购置冷拔机、矫直机及切料机等设备</w:t>
      </w:r>
      <w:r>
        <w:rPr>
          <w:rFonts w:hint="eastAsia" w:ascii="楷体_GB2312" w:hAnsi="宋体" w:eastAsia="楷体_GB2312"/>
          <w:sz w:val="28"/>
          <w:szCs w:val="28"/>
          <w:lang w:eastAsia="zh-CN"/>
        </w:rPr>
        <w:t>及</w:t>
      </w:r>
      <w:r>
        <w:rPr>
          <w:rFonts w:hint="eastAsia" w:ascii="楷体" w:hAnsi="楷体" w:eastAsia="楷体" w:cs="楷体"/>
          <w:sz w:val="28"/>
          <w:szCs w:val="28"/>
          <w:lang w:eastAsia="zh-CN"/>
        </w:rPr>
        <w:t>配套环保设施。</w:t>
      </w:r>
    </w:p>
    <w:p>
      <w:pPr>
        <w:tabs>
          <w:tab w:val="left" w:pos="360"/>
        </w:tabs>
        <w:spacing w:line="360" w:lineRule="auto"/>
        <w:ind w:left="298" w:leftChars="142" w:firstLine="560" w:firstLineChars="200"/>
        <w:jc w:val="left"/>
        <w:rPr>
          <w:rFonts w:hint="eastAsia" w:ascii="楷体_GB2312" w:hAnsi="宋体" w:eastAsia="楷体_GB2312"/>
          <w:sz w:val="28"/>
          <w:szCs w:val="28"/>
          <w:lang w:val="en-US" w:eastAsia="zh-CN"/>
        </w:rPr>
      </w:pPr>
      <w:r>
        <w:rPr>
          <w:rFonts w:hint="eastAsia" w:ascii="楷体_GB2312" w:hAnsi="宋体" w:eastAsia="楷体_GB2312"/>
          <w:sz w:val="28"/>
          <w:szCs w:val="28"/>
        </w:rPr>
        <w:t>建设性质为</w:t>
      </w:r>
      <w:r>
        <w:rPr>
          <w:rFonts w:hint="eastAsia" w:ascii="楷体_GB2312" w:hAnsi="宋体" w:eastAsia="楷体_GB2312"/>
          <w:sz w:val="28"/>
          <w:szCs w:val="28"/>
          <w:lang w:val="en-US" w:eastAsia="zh-CN"/>
        </w:rPr>
        <w:t>改扩建</w:t>
      </w:r>
      <w:r>
        <w:rPr>
          <w:rFonts w:hint="eastAsia" w:ascii="楷体_GB2312" w:hAnsi="宋体" w:eastAsia="楷体_GB2312"/>
          <w:sz w:val="28"/>
          <w:szCs w:val="28"/>
        </w:rPr>
        <w:t>，</w:t>
      </w:r>
      <w:r>
        <w:rPr>
          <w:rFonts w:hint="eastAsia" w:ascii="楷体_GB2312" w:hAnsi="宋体" w:eastAsia="楷体_GB2312"/>
          <w:sz w:val="28"/>
          <w:szCs w:val="28"/>
          <w:lang w:eastAsia="zh-CN"/>
        </w:rPr>
        <w:t>本次验收</w:t>
      </w:r>
      <w:r>
        <w:rPr>
          <w:rFonts w:hint="eastAsia" w:ascii="楷体_GB2312" w:hAnsi="宋体" w:eastAsia="楷体_GB2312"/>
          <w:sz w:val="28"/>
          <w:szCs w:val="28"/>
        </w:rPr>
        <w:t>项目生产规模为：</w:t>
      </w:r>
      <w:r>
        <w:rPr>
          <w:rFonts w:hint="eastAsia" w:ascii="楷体_GB2312" w:hAnsi="宋体" w:eastAsia="楷体_GB2312"/>
          <w:sz w:val="28"/>
          <w:szCs w:val="28"/>
          <w:lang w:val="en-US" w:eastAsia="zh-CN"/>
        </w:rPr>
        <w:t>年加工100万套轴承套圈项目</w:t>
      </w:r>
    </w:p>
    <w:p>
      <w:pPr>
        <w:tabs>
          <w:tab w:val="left" w:pos="360"/>
        </w:tabs>
        <w:spacing w:line="360" w:lineRule="auto"/>
        <w:ind w:left="298" w:leftChars="142" w:firstLine="560" w:firstLineChars="20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（二）环保审批情况</w:t>
      </w:r>
    </w:p>
    <w:p>
      <w:pPr>
        <w:spacing w:line="360" w:lineRule="auto"/>
        <w:ind w:firstLine="560" w:firstLineChars="200"/>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2018年4月东阿广宇精辗轴承有限公司委托青岛洁瑞环保技术服务有限公司编制了《东阿广宇精辗轴承有限公司年加工200万套轴承套圈项目环境影响报告表》，2018年5月15日东阿县环境保护局以东环报告表[2018]61号对其进行了审批。2018年7月公司委托山东聊和环保科技有限公司进行该项目的环保验收监测工作，接受委托后山东聊和环保科技有限公司组织有关技术人员进行现场踏勘，依据监测技术规范制定了环保验收监测方案，并于2018年8月10日-11日对厂区有关污染源进行了监测，根据验收监测结果和现场检查情况编制了本项目验收监测报告。</w:t>
      </w:r>
    </w:p>
    <w:p>
      <w:pPr>
        <w:tabs>
          <w:tab w:val="left" w:pos="360"/>
        </w:tabs>
        <w:spacing w:line="360" w:lineRule="auto"/>
        <w:ind w:left="298" w:leftChars="142" w:firstLine="560" w:firstLineChars="20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（三）投资情况</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项目实际总投资</w:t>
      </w:r>
      <w:r>
        <w:rPr>
          <w:rFonts w:hint="eastAsia" w:ascii="楷体_GB2312" w:hAnsi="宋体" w:eastAsia="楷体_GB2312"/>
          <w:sz w:val="28"/>
          <w:szCs w:val="28"/>
          <w:lang w:val="en-US" w:eastAsia="zh-CN"/>
        </w:rPr>
        <w:t>18.5万</w:t>
      </w:r>
      <w:r>
        <w:rPr>
          <w:rFonts w:hint="eastAsia" w:ascii="楷体_GB2312" w:hAnsi="宋体" w:eastAsia="楷体_GB2312"/>
          <w:sz w:val="28"/>
          <w:szCs w:val="28"/>
        </w:rPr>
        <w:t>元，其中环保投资</w:t>
      </w:r>
      <w:r>
        <w:rPr>
          <w:rFonts w:hint="eastAsia" w:ascii="楷体_GB2312" w:hAnsi="宋体" w:eastAsia="楷体_GB2312"/>
          <w:sz w:val="28"/>
          <w:szCs w:val="28"/>
          <w:lang w:val="en-US" w:eastAsia="zh-CN"/>
        </w:rPr>
        <w:t>2万</w:t>
      </w:r>
      <w:r>
        <w:rPr>
          <w:rFonts w:hint="eastAsia" w:ascii="楷体_GB2312" w:hAnsi="宋体" w:eastAsia="楷体_GB2312"/>
          <w:sz w:val="28"/>
          <w:szCs w:val="28"/>
        </w:rPr>
        <w:t>。占总投资</w:t>
      </w:r>
      <w:r>
        <w:rPr>
          <w:rFonts w:hint="eastAsia" w:ascii="楷体_GB2312" w:hAnsi="宋体" w:eastAsia="楷体_GB2312"/>
          <w:sz w:val="28"/>
          <w:szCs w:val="28"/>
          <w:lang w:val="en-US" w:eastAsia="zh-CN"/>
        </w:rPr>
        <w:t>10.8</w:t>
      </w:r>
      <w:r>
        <w:rPr>
          <w:rFonts w:hint="eastAsia" w:ascii="楷体_GB2312" w:hAnsi="宋体" w:eastAsia="楷体_GB2312"/>
          <w:sz w:val="28"/>
          <w:szCs w:val="28"/>
        </w:rPr>
        <w:t>％。</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（四）验收范围</w:t>
      </w:r>
    </w:p>
    <w:p>
      <w:pPr>
        <w:tabs>
          <w:tab w:val="left" w:pos="360"/>
        </w:tabs>
        <w:spacing w:line="360" w:lineRule="auto"/>
        <w:ind w:left="298" w:leftChars="142" w:firstLine="560" w:firstLineChars="200"/>
        <w:jc w:val="left"/>
        <w:rPr>
          <w:rFonts w:ascii="楷体_GB2312" w:hAnsi="宋体" w:eastAsia="楷体_GB2312"/>
          <w:sz w:val="28"/>
          <w:szCs w:val="28"/>
        </w:rPr>
      </w:pPr>
      <w:r>
        <w:rPr>
          <w:rFonts w:hint="eastAsia" w:ascii="楷体_GB2312" w:hAnsi="宋体" w:eastAsia="楷体_GB2312"/>
          <w:sz w:val="28"/>
          <w:szCs w:val="28"/>
        </w:rPr>
        <w:t>本次验收的范围为</w:t>
      </w:r>
      <w:r>
        <w:rPr>
          <w:rFonts w:hint="eastAsia" w:ascii="楷体_GB2312" w:hAnsi="宋体" w:eastAsia="楷体_GB2312"/>
          <w:sz w:val="28"/>
          <w:szCs w:val="28"/>
          <w:lang w:val="en-US" w:eastAsia="zh-CN"/>
        </w:rPr>
        <w:t>100万套轴承套圈生产设备</w:t>
      </w:r>
      <w:r>
        <w:rPr>
          <w:rFonts w:hint="eastAsia" w:ascii="楷体_GB2312" w:hAnsi="宋体" w:eastAsia="楷体_GB2312"/>
          <w:sz w:val="28"/>
          <w:szCs w:val="28"/>
        </w:rPr>
        <w:t>及其配套环保设施。</w:t>
      </w:r>
    </w:p>
    <w:p>
      <w:pPr>
        <w:tabs>
          <w:tab w:val="left" w:pos="360"/>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二、工程变更情况</w:t>
      </w:r>
    </w:p>
    <w:p>
      <w:pPr>
        <w:spacing w:line="360" w:lineRule="auto"/>
        <w:ind w:firstLine="840" w:firstLineChars="300"/>
        <w:jc w:val="left"/>
        <w:rPr>
          <w:rFonts w:ascii="楷体_GB2312" w:hAnsi="宋体" w:eastAsia="楷体_GB2312"/>
          <w:sz w:val="28"/>
          <w:szCs w:val="28"/>
        </w:rPr>
      </w:pPr>
      <w:r>
        <w:rPr>
          <w:rFonts w:hint="eastAsia" w:ascii="楷体_GB2312" w:hAnsi="宋体" w:eastAsia="楷体_GB2312"/>
          <w:sz w:val="28"/>
          <w:szCs w:val="28"/>
        </w:rPr>
        <w:t>经现场验收核查，</w:t>
      </w:r>
      <w:r>
        <w:rPr>
          <w:rFonts w:hint="eastAsia" w:ascii="楷体_GB2312" w:hAnsi="宋体" w:eastAsia="楷体_GB2312"/>
          <w:sz w:val="28"/>
          <w:szCs w:val="28"/>
          <w:lang w:eastAsia="zh-CN"/>
        </w:rPr>
        <w:t>项目分期验收</w:t>
      </w:r>
      <w:r>
        <w:rPr>
          <w:rFonts w:hint="eastAsia" w:ascii="楷体_GB2312" w:hAnsi="宋体" w:eastAsia="楷体_GB2312"/>
          <w:sz w:val="28"/>
          <w:szCs w:val="28"/>
        </w:rPr>
        <w:t>，</w:t>
      </w:r>
      <w:r>
        <w:rPr>
          <w:rFonts w:hint="eastAsia" w:ascii="楷体_GB2312" w:hAnsi="宋体" w:eastAsia="楷体_GB2312"/>
          <w:sz w:val="28"/>
          <w:szCs w:val="28"/>
          <w:lang w:eastAsia="zh-CN"/>
        </w:rPr>
        <w:t>不涉及</w:t>
      </w:r>
      <w:r>
        <w:rPr>
          <w:rFonts w:hint="eastAsia" w:ascii="楷体_GB2312" w:hAnsi="宋体" w:eastAsia="楷体_GB2312"/>
          <w:sz w:val="28"/>
          <w:szCs w:val="28"/>
        </w:rPr>
        <w:t>重大变动。</w:t>
      </w:r>
    </w:p>
    <w:p>
      <w:pPr>
        <w:pStyle w:val="10"/>
        <w:numPr>
          <w:ilvl w:val="0"/>
          <w:numId w:val="1"/>
        </w:numPr>
        <w:spacing w:line="360" w:lineRule="auto"/>
        <w:ind w:firstLineChars="0"/>
        <w:jc w:val="left"/>
        <w:rPr>
          <w:rFonts w:ascii="楷体_GB2312" w:hAnsi="宋体" w:eastAsia="楷体_GB2312"/>
          <w:sz w:val="28"/>
          <w:szCs w:val="28"/>
        </w:rPr>
      </w:pPr>
      <w:r>
        <w:rPr>
          <w:rFonts w:hint="eastAsia" w:ascii="楷体_GB2312" w:hAnsi="宋体" w:eastAsia="楷体_GB2312"/>
          <w:sz w:val="28"/>
          <w:szCs w:val="28"/>
        </w:rPr>
        <w:t>环境保护设施落实情况</w:t>
      </w:r>
    </w:p>
    <w:p>
      <w:pPr>
        <w:pStyle w:val="10"/>
        <w:spacing w:beforeLines="50" w:line="360" w:lineRule="auto"/>
        <w:ind w:left="141" w:leftChars="67" w:firstLine="280" w:firstLineChars="100"/>
        <w:rPr>
          <w:rFonts w:ascii="楷体_GB2312" w:hAnsi="宋体" w:eastAsia="楷体_GB2312"/>
          <w:sz w:val="28"/>
          <w:szCs w:val="28"/>
        </w:rPr>
      </w:pPr>
      <w:r>
        <w:rPr>
          <w:rFonts w:hint="eastAsia" w:ascii="楷体_GB2312" w:hAnsi="宋体" w:eastAsia="楷体_GB2312"/>
          <w:sz w:val="28"/>
          <w:szCs w:val="28"/>
        </w:rPr>
        <w:t>（一）废水污染源及其治理措施</w:t>
      </w:r>
    </w:p>
    <w:p>
      <w:pPr>
        <w:widowControl/>
        <w:spacing w:line="360" w:lineRule="auto"/>
        <w:ind w:left="0" w:leftChars="0" w:firstLine="638" w:firstLineChars="228"/>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 xml:space="preserve"> 项目无生产废水产生。新增生活污水经市政污水管网，排入东阿县污水处理厂，废水排放执行《污水排入城镇下水道水质标准》（GB/T31962-2015）表1中A等级标准及东阿县污水处理厂进水水质要求。</w:t>
      </w:r>
    </w:p>
    <w:p>
      <w:pPr>
        <w:widowControl/>
        <w:spacing w:line="360" w:lineRule="auto"/>
        <w:ind w:firstLine="420" w:firstLineChars="150"/>
        <w:jc w:val="left"/>
        <w:rPr>
          <w:rFonts w:hint="eastAsia" w:ascii="楷体_GB2312" w:hAnsi="宋体" w:eastAsia="楷体_GB2312" w:cs="Times New Roman"/>
          <w:kern w:val="2"/>
          <w:sz w:val="28"/>
          <w:szCs w:val="28"/>
          <w:lang w:val="en-US" w:eastAsia="zh-CN" w:bidi="ar-SA"/>
        </w:rPr>
      </w:pPr>
      <w:r>
        <w:rPr>
          <w:rFonts w:hint="eastAsia" w:ascii="楷体_GB2312" w:hAnsi="宋体" w:eastAsia="楷体_GB2312" w:cs="Times New Roman"/>
          <w:kern w:val="2"/>
          <w:sz w:val="28"/>
          <w:szCs w:val="28"/>
          <w:lang w:val="en-US" w:eastAsia="zh-CN" w:bidi="ar-SA"/>
        </w:rPr>
        <w:t>（二）废气污染源及其治理措施</w:t>
      </w:r>
    </w:p>
    <w:p>
      <w:pPr>
        <w:spacing w:line="360" w:lineRule="auto"/>
        <w:ind w:left="0" w:leftChars="0" w:firstLine="420" w:firstLineChars="15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项目营运期间产生的废气主要是切割工序产生的金属颗粒物。颗粒物粒径较大，能够迅速沉降落地，本项目无组织颗粒物执行《大气污染物综合排放标准》（GB16297-1996）表2要求。</w:t>
      </w:r>
    </w:p>
    <w:p>
      <w:pPr>
        <w:spacing w:line="360" w:lineRule="auto"/>
        <w:ind w:left="0" w:leftChars="0" w:firstLine="420" w:firstLineChars="150"/>
        <w:jc w:val="left"/>
        <w:rPr>
          <w:rFonts w:hint="eastAsia" w:ascii="楷体" w:hAnsi="楷体" w:eastAsia="楷体" w:cs="楷体"/>
          <w:snapToGrid w:val="0"/>
          <w:kern w:val="0"/>
          <w:sz w:val="28"/>
          <w:szCs w:val="28"/>
          <w:lang w:val="en-US" w:eastAsia="zh-CN"/>
        </w:rPr>
      </w:pPr>
    </w:p>
    <w:p>
      <w:pPr>
        <w:spacing w:line="360" w:lineRule="auto"/>
        <w:ind w:left="0" w:leftChars="0" w:firstLine="420" w:firstLineChars="15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（三）噪声</w:t>
      </w:r>
    </w:p>
    <w:p>
      <w:pPr>
        <w:spacing w:line="360" w:lineRule="auto"/>
        <w:ind w:firstLine="560" w:firstLineChars="200"/>
        <w:jc w:val="left"/>
        <w:rPr>
          <w:rFonts w:hint="eastAsia" w:ascii="楷体" w:hAnsi="楷体" w:eastAsia="楷体" w:cs="楷体"/>
          <w:snapToGrid w:val="0"/>
          <w:kern w:val="0"/>
          <w:sz w:val="28"/>
          <w:szCs w:val="28"/>
          <w:lang w:val="en-US" w:eastAsia="zh-CN"/>
        </w:rPr>
      </w:pPr>
      <w:r>
        <w:rPr>
          <w:rFonts w:hint="eastAsia" w:ascii="楷体" w:hAnsi="楷体" w:eastAsia="楷体" w:cs="楷体"/>
          <w:snapToGrid w:val="0"/>
          <w:kern w:val="0"/>
          <w:sz w:val="28"/>
          <w:szCs w:val="28"/>
          <w:lang w:val="en-US" w:eastAsia="zh-CN"/>
        </w:rPr>
        <w:t xml:space="preserve">项目营运期间产生的噪声主要是生产设备运行时产生的噪声，经采用低噪声设备，基础减震，距离衰减等进行降噪措施后，营运期噪声排放执行《工业企业厂界环境噪声排放标准》（GB12348-2008）中的2类标准。 </w:t>
      </w:r>
    </w:p>
    <w:p>
      <w:pPr>
        <w:spacing w:line="360" w:lineRule="auto"/>
        <w:ind w:firstLine="420" w:firstLineChars="150"/>
        <w:jc w:val="left"/>
        <w:rPr>
          <w:rFonts w:hint="eastAsia" w:ascii="楷体" w:hAnsi="楷体" w:eastAsia="楷体" w:cs="楷体"/>
          <w:sz w:val="28"/>
          <w:szCs w:val="28"/>
          <w:lang w:eastAsia="zh-CN"/>
        </w:rPr>
      </w:pPr>
      <w:r>
        <w:rPr>
          <w:rFonts w:hint="eastAsia" w:ascii="楷体_GB2312" w:hAnsi="宋体" w:eastAsia="楷体_GB2312"/>
          <w:sz w:val="28"/>
          <w:szCs w:val="28"/>
        </w:rPr>
        <w:t>（</w:t>
      </w:r>
      <w:r>
        <w:rPr>
          <w:rFonts w:hint="eastAsia" w:ascii="楷体" w:hAnsi="楷体" w:eastAsia="楷体" w:cs="楷体"/>
          <w:sz w:val="28"/>
          <w:szCs w:val="28"/>
        </w:rPr>
        <w:t>四）固体废物</w:t>
      </w:r>
    </w:p>
    <w:p>
      <w:pPr>
        <w:pStyle w:val="2"/>
        <w:spacing w:line="360" w:lineRule="auto"/>
        <w:ind w:left="0" w:leftChars="0" w:firstLine="560" w:firstLineChars="200"/>
        <w:rPr>
          <w:rFonts w:hint="eastAsia" w:ascii="楷体" w:hAnsi="楷体" w:eastAsia="楷体" w:cs="楷体"/>
          <w:snapToGrid w:val="0"/>
          <w:kern w:val="0"/>
          <w:sz w:val="28"/>
          <w:szCs w:val="28"/>
          <w:lang w:val="en-US" w:eastAsia="zh-CN" w:bidi="ar-SA"/>
        </w:rPr>
      </w:pPr>
      <w:r>
        <w:rPr>
          <w:rFonts w:hint="eastAsia" w:ascii="楷体" w:hAnsi="楷体" w:eastAsia="楷体" w:cs="楷体"/>
          <w:snapToGrid w:val="0"/>
          <w:kern w:val="0"/>
          <w:sz w:val="28"/>
          <w:szCs w:val="28"/>
          <w:lang w:val="en-US" w:eastAsia="zh-CN" w:bidi="ar-SA"/>
        </w:rPr>
        <w:t>项目冷拔工序产生的氧化铁皮，切割工序产生的下脚料及铁屑，收集后外售物资回收公司。生活垃圾由环卫部门统一清运。固体废物应按照《一般工业固体废物贮存、处置场污染控制标准》（GB18599-2001）及其修改单要求建设储存设施统一收集，做好储存设施的防渗和防雨处理，及时联系环卫部门清运。</w:t>
      </w:r>
    </w:p>
    <w:p>
      <w:pPr>
        <w:pStyle w:val="10"/>
        <w:numPr>
          <w:ilvl w:val="0"/>
          <w:numId w:val="0"/>
        </w:numPr>
        <w:spacing w:line="360" w:lineRule="auto"/>
        <w:ind w:left="0" w:leftChars="0" w:firstLine="560" w:firstLineChars="200"/>
        <w:jc w:val="left"/>
        <w:rPr>
          <w:rFonts w:hint="eastAsia" w:ascii="楷体" w:hAnsi="楷体" w:eastAsia="楷体" w:cs="楷体"/>
          <w:snapToGrid w:val="0"/>
          <w:kern w:val="0"/>
          <w:sz w:val="28"/>
          <w:szCs w:val="28"/>
          <w:lang w:val="en-US" w:eastAsia="zh-CN" w:bidi="ar-SA"/>
        </w:rPr>
      </w:pPr>
      <w:r>
        <w:rPr>
          <w:rFonts w:hint="eastAsia" w:ascii="楷体" w:hAnsi="楷体" w:eastAsia="楷体" w:cs="楷体"/>
          <w:snapToGrid w:val="0"/>
          <w:kern w:val="0"/>
          <w:sz w:val="28"/>
          <w:szCs w:val="28"/>
          <w:lang w:val="en-US" w:eastAsia="zh-CN" w:bidi="ar-SA"/>
        </w:rPr>
        <w:t>四、验收监测结果</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（一）环保设施运行检测结果</w:t>
      </w:r>
    </w:p>
    <w:p>
      <w:pPr>
        <w:widowControl/>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山东聊和环保科技有限公司</w:t>
      </w:r>
      <w:r>
        <w:rPr>
          <w:rFonts w:hint="eastAsia" w:ascii="楷体_GB2312" w:hAnsi="宋体" w:eastAsia="楷体_GB2312"/>
          <w:sz w:val="28"/>
          <w:szCs w:val="28"/>
        </w:rPr>
        <w:t>出具的</w:t>
      </w:r>
      <w:r>
        <w:rPr>
          <w:rFonts w:hint="eastAsia" w:ascii="楷体_GB2312" w:hAnsi="宋体" w:eastAsia="楷体_GB2312"/>
          <w:b w:val="0"/>
          <w:bCs w:val="0"/>
          <w:sz w:val="28"/>
          <w:szCs w:val="28"/>
        </w:rPr>
        <w:t>《</w:t>
      </w:r>
      <w:r>
        <w:rPr>
          <w:rFonts w:hint="eastAsia" w:ascii="楷体_GB2312" w:eastAsia="楷体_GB2312"/>
          <w:b w:val="0"/>
          <w:bCs w:val="0"/>
          <w:sz w:val="28"/>
          <w:szCs w:val="28"/>
          <w:lang w:val="en-US" w:eastAsia="zh-CN"/>
        </w:rPr>
        <w:t>东阿广宇精辗轴承有限公司年加工200万套轴承套圈项目（一期：100万套）</w:t>
      </w:r>
      <w:r>
        <w:rPr>
          <w:rFonts w:hint="eastAsia" w:ascii="楷体_GB2312" w:hAnsi="宋体" w:eastAsia="楷体_GB2312"/>
          <w:sz w:val="28"/>
          <w:szCs w:val="28"/>
        </w:rPr>
        <w:t>竣工环境保护验收监测报告》监测结果表明：</w:t>
      </w:r>
    </w:p>
    <w:p>
      <w:pPr>
        <w:numPr>
          <w:ilvl w:val="0"/>
          <w:numId w:val="2"/>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eastAsia="zh-CN"/>
        </w:rPr>
        <w:t>废水</w:t>
      </w:r>
    </w:p>
    <w:p>
      <w:pPr>
        <w:ind w:firstLine="560" w:firstLineChars="200"/>
        <w:rPr>
          <w:rFonts w:hint="eastAsia" w:ascii="楷体" w:hAnsi="楷体" w:eastAsia="楷体" w:cs="楷体"/>
          <w:b w:val="0"/>
          <w:bCs w:val="0"/>
          <w:color w:val="000000"/>
          <w:sz w:val="28"/>
          <w:szCs w:val="28"/>
          <w:lang w:val="en-US" w:eastAsia="zh-CN"/>
        </w:rPr>
      </w:pPr>
      <w:r>
        <w:rPr>
          <w:rFonts w:hint="default" w:ascii="Times New Roman" w:hAnsi="Times New Roman" w:eastAsia="楷体" w:cs="Times New Roman"/>
          <w:color w:val="000000"/>
          <w:kern w:val="2"/>
          <w:sz w:val="28"/>
          <w:szCs w:val="28"/>
          <w:lang w:val="en-US" w:eastAsia="zh-CN" w:bidi="ar-SA"/>
        </w:rPr>
        <w:t>验收监测期间，</w:t>
      </w:r>
      <w:r>
        <w:rPr>
          <w:rFonts w:hint="default" w:ascii="Times New Roman" w:hAnsi="Times New Roman" w:eastAsia="楷体" w:cs="Times New Roman"/>
          <w:b w:val="0"/>
          <w:bCs w:val="0"/>
          <w:sz w:val="28"/>
          <w:szCs w:val="28"/>
          <w:lang w:eastAsia="zh-CN"/>
        </w:rPr>
        <w:t>废水</w:t>
      </w:r>
      <w:r>
        <w:rPr>
          <w:rFonts w:hint="eastAsia" w:ascii="Times New Roman" w:hAnsi="Times New Roman" w:eastAsia="楷体" w:cs="Times New Roman"/>
          <w:b w:val="0"/>
          <w:bCs w:val="0"/>
          <w:sz w:val="28"/>
          <w:szCs w:val="28"/>
          <w:lang w:val="en-US" w:eastAsia="zh-CN"/>
        </w:rPr>
        <w:t>pH</w:t>
      </w:r>
      <w:r>
        <w:rPr>
          <w:rFonts w:hint="default" w:ascii="Times New Roman" w:hAnsi="Times New Roman" w:eastAsia="楷体" w:cs="Times New Roman"/>
          <w:b w:val="0"/>
          <w:bCs w:val="0"/>
          <w:sz w:val="28"/>
          <w:szCs w:val="28"/>
          <w:lang w:val="en-US" w:eastAsia="zh-CN"/>
        </w:rPr>
        <w:t>为</w:t>
      </w:r>
      <w:r>
        <w:rPr>
          <w:rFonts w:hint="eastAsia" w:ascii="Times New Roman" w:hAnsi="Times New Roman" w:eastAsia="楷体" w:cs="Times New Roman"/>
          <w:b w:val="0"/>
          <w:bCs w:val="0"/>
          <w:sz w:val="28"/>
          <w:szCs w:val="28"/>
          <w:lang w:val="en-US" w:eastAsia="zh-CN"/>
        </w:rPr>
        <w:t>7.68-7.95，悬浮物最高排放浓度为66mg/L</w:t>
      </w:r>
      <w:r>
        <w:rPr>
          <w:rFonts w:hint="default" w:ascii="Times New Roman" w:hAnsi="Times New Roman" w:eastAsia="楷体" w:cs="Times New Roman"/>
          <w:sz w:val="28"/>
          <w:szCs w:val="28"/>
          <w:lang w:eastAsia="zh-CN"/>
        </w:rPr>
        <w:t>，</w:t>
      </w:r>
      <w:r>
        <w:rPr>
          <w:rFonts w:hint="default" w:ascii="Times New Roman" w:hAnsi="Times New Roman" w:eastAsia="楷体" w:cs="Times New Roman"/>
          <w:color w:val="000000"/>
          <w:sz w:val="28"/>
          <w:szCs w:val="28"/>
          <w:lang w:val="en-US" w:eastAsia="zh-CN"/>
        </w:rPr>
        <w:t>COD</w:t>
      </w:r>
      <w:r>
        <w:rPr>
          <w:rFonts w:hint="default" w:ascii="Times New Roman" w:hAnsi="Times New Roman" w:eastAsia="楷体" w:cs="Times New Roman"/>
          <w:color w:val="000000"/>
          <w:sz w:val="28"/>
          <w:szCs w:val="28"/>
          <w:vertAlign w:val="subscript"/>
          <w:lang w:val="en-US" w:eastAsia="zh-CN"/>
        </w:rPr>
        <w:t>Cr</w:t>
      </w:r>
      <w:r>
        <w:rPr>
          <w:rFonts w:hint="default" w:ascii="Times New Roman" w:hAnsi="Times New Roman" w:eastAsia="楷体" w:cs="Times New Roman"/>
          <w:sz w:val="28"/>
          <w:szCs w:val="28"/>
        </w:rPr>
        <w:t>最</w:t>
      </w:r>
      <w:r>
        <w:rPr>
          <w:rFonts w:hint="default" w:ascii="Times New Roman" w:hAnsi="Times New Roman" w:eastAsia="楷体" w:cs="Times New Roman"/>
          <w:sz w:val="28"/>
          <w:szCs w:val="28"/>
          <w:lang w:eastAsia="zh-CN"/>
        </w:rPr>
        <w:t>高排放浓度</w:t>
      </w:r>
      <w:r>
        <w:rPr>
          <w:rFonts w:hint="default" w:ascii="Times New Roman" w:hAnsi="Times New Roman" w:eastAsia="楷体" w:cs="Times New Roman"/>
          <w:sz w:val="28"/>
          <w:szCs w:val="28"/>
        </w:rPr>
        <w:t>为</w:t>
      </w:r>
      <w:r>
        <w:rPr>
          <w:rFonts w:hint="eastAsia" w:ascii="Times New Roman" w:hAnsi="Times New Roman" w:eastAsia="楷体" w:cs="Times New Roman"/>
          <w:sz w:val="28"/>
          <w:szCs w:val="28"/>
          <w:lang w:val="en-US" w:eastAsia="zh-CN"/>
        </w:rPr>
        <w:t>126mg</w:t>
      </w:r>
      <w:r>
        <w:rPr>
          <w:rFonts w:hint="default" w:ascii="Times New Roman" w:hAnsi="Times New Roman" w:eastAsia="楷体" w:cs="Times New Roman"/>
          <w:sz w:val="28"/>
          <w:szCs w:val="28"/>
        </w:rPr>
        <w:t>/L</w:t>
      </w:r>
      <w:r>
        <w:rPr>
          <w:rFonts w:hint="default" w:ascii="Times New Roman" w:hAnsi="Times New Roman" w:eastAsia="楷体" w:cs="Times New Roman"/>
          <w:color w:val="auto"/>
          <w:sz w:val="28"/>
          <w:szCs w:val="28"/>
        </w:rPr>
        <w:t>，</w:t>
      </w:r>
      <w:r>
        <w:rPr>
          <w:rFonts w:hint="default" w:ascii="Times New Roman" w:hAnsi="Times New Roman" w:eastAsia="楷体" w:cs="Times New Roman"/>
          <w:kern w:val="0"/>
          <w:sz w:val="28"/>
          <w:szCs w:val="28"/>
        </w:rPr>
        <w:t>氨氮</w:t>
      </w:r>
      <w:r>
        <w:rPr>
          <w:rFonts w:hint="default" w:ascii="Times New Roman" w:hAnsi="Times New Roman" w:eastAsia="楷体" w:cs="Times New Roman"/>
          <w:sz w:val="28"/>
          <w:szCs w:val="28"/>
        </w:rPr>
        <w:t>最</w:t>
      </w:r>
      <w:r>
        <w:rPr>
          <w:rFonts w:hint="default" w:ascii="Times New Roman" w:hAnsi="Times New Roman" w:eastAsia="楷体" w:cs="Times New Roman"/>
          <w:sz w:val="28"/>
          <w:szCs w:val="28"/>
          <w:lang w:eastAsia="zh-CN"/>
        </w:rPr>
        <w:t>高排放浓度</w:t>
      </w:r>
      <w:r>
        <w:rPr>
          <w:rFonts w:hint="default" w:ascii="Times New Roman" w:hAnsi="Times New Roman" w:eastAsia="楷体" w:cs="Times New Roman"/>
          <w:sz w:val="28"/>
          <w:szCs w:val="28"/>
        </w:rPr>
        <w:t>为</w:t>
      </w:r>
      <w:r>
        <w:rPr>
          <w:rFonts w:hint="eastAsia" w:ascii="Times New Roman" w:hAnsi="Times New Roman" w:eastAsia="楷体" w:cs="Times New Roman"/>
          <w:sz w:val="28"/>
          <w:szCs w:val="28"/>
          <w:lang w:val="en-US" w:eastAsia="zh-CN"/>
        </w:rPr>
        <w:t>1.55</w:t>
      </w:r>
      <w:r>
        <w:rPr>
          <w:rFonts w:hint="default" w:ascii="Times New Roman" w:hAnsi="Times New Roman" w:eastAsia="楷体" w:cs="Times New Roman"/>
          <w:kern w:val="0"/>
          <w:sz w:val="28"/>
          <w:szCs w:val="28"/>
        </w:rPr>
        <w:t>mg/L，</w:t>
      </w:r>
      <w:r>
        <w:rPr>
          <w:rFonts w:hint="default" w:ascii="Times New Roman" w:hAnsi="Times New Roman" w:eastAsia="楷体" w:cs="Times New Roman"/>
          <w:kern w:val="0"/>
          <w:sz w:val="28"/>
          <w:szCs w:val="28"/>
          <w:lang w:eastAsia="zh-CN"/>
        </w:rPr>
        <w:t>均满足</w:t>
      </w:r>
      <w:r>
        <w:rPr>
          <w:rFonts w:hint="eastAsia" w:ascii="Times New Roman" w:hAnsi="Times New Roman" w:eastAsia="楷体" w:cs="Times New Roman"/>
          <w:b w:val="0"/>
          <w:bCs w:val="0"/>
          <w:kern w:val="2"/>
          <w:sz w:val="28"/>
          <w:szCs w:val="28"/>
          <w:vertAlign w:val="baseline"/>
          <w:lang w:val="en-US" w:eastAsia="zh-CN"/>
        </w:rPr>
        <w:t>《污水排入城镇下水道水质标准》（GB/T 31962-2015）表1中A等级标准及东阿县污水处理厂进水水质要求。</w:t>
      </w:r>
    </w:p>
    <w:p>
      <w:pPr>
        <w:numPr>
          <w:ilvl w:val="0"/>
          <w:numId w:val="3"/>
        </w:num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废气</w:t>
      </w:r>
    </w:p>
    <w:p>
      <w:pPr>
        <w:pStyle w:val="5"/>
        <w:spacing w:line="360" w:lineRule="auto"/>
        <w:ind w:firstLine="560" w:firstLineChars="200"/>
        <w:rPr>
          <w:rFonts w:hint="eastAsia" w:ascii="楷体_GB2312" w:hAnsi="宋体" w:eastAsia="楷体_GB2312" w:cs="Times New Roman"/>
          <w:kern w:val="2"/>
          <w:sz w:val="28"/>
          <w:szCs w:val="28"/>
          <w:lang w:val="en-US" w:eastAsia="zh-CN" w:bidi="ar-SA"/>
        </w:rPr>
      </w:pPr>
      <w:r>
        <w:rPr>
          <w:rFonts w:hint="default" w:ascii="Times New Roman" w:hAnsi="Times New Roman" w:eastAsia="楷体" w:cs="Times New Roman"/>
          <w:color w:val="000000"/>
          <w:kern w:val="2"/>
          <w:sz w:val="28"/>
          <w:szCs w:val="28"/>
          <w:lang w:val="en-US" w:eastAsia="zh-CN" w:bidi="ar-SA"/>
        </w:rPr>
        <w:t>验收监测期间，无组织颗粒物小时浓度最高为</w:t>
      </w:r>
      <w:r>
        <w:rPr>
          <w:rFonts w:hint="eastAsia" w:ascii="Times New Roman" w:hAnsi="Times New Roman" w:eastAsia="楷体" w:cs="Times New Roman"/>
          <w:color w:val="000000"/>
          <w:kern w:val="2"/>
          <w:sz w:val="28"/>
          <w:szCs w:val="28"/>
          <w:lang w:val="en-US" w:eastAsia="zh-CN" w:bidi="ar-SA"/>
        </w:rPr>
        <w:t>0.216</w:t>
      </w:r>
      <w:r>
        <w:rPr>
          <w:rFonts w:hint="default" w:ascii="Times New Roman" w:hAnsi="Times New Roman" w:eastAsia="楷体" w:cs="Times New Roman"/>
          <w:color w:val="000000"/>
          <w:kern w:val="2"/>
          <w:sz w:val="28"/>
          <w:szCs w:val="28"/>
          <w:highlight w:val="none"/>
          <w:lang w:val="en-US" w:eastAsia="zh-CN" w:bidi="ar-SA"/>
        </w:rPr>
        <w:t>mg/m</w:t>
      </w:r>
      <w:r>
        <w:rPr>
          <w:rFonts w:hint="default" w:ascii="Times New Roman" w:hAnsi="Times New Roman" w:eastAsia="楷体" w:cs="Times New Roman"/>
          <w:color w:val="000000"/>
          <w:kern w:val="2"/>
          <w:sz w:val="28"/>
          <w:szCs w:val="28"/>
          <w:highlight w:val="none"/>
          <w:vertAlign w:val="superscript"/>
          <w:lang w:val="en-US" w:eastAsia="zh-CN" w:bidi="ar-SA"/>
        </w:rPr>
        <w:t>3</w:t>
      </w:r>
      <w:r>
        <w:rPr>
          <w:rFonts w:hint="default" w:ascii="Times New Roman" w:hAnsi="Times New Roman" w:eastAsia="楷体" w:cs="Times New Roman"/>
          <w:color w:val="000000"/>
          <w:kern w:val="2"/>
          <w:sz w:val="28"/>
          <w:szCs w:val="28"/>
          <w:highlight w:val="none"/>
          <w:vertAlign w:val="baseline"/>
          <w:lang w:val="en-US" w:eastAsia="zh-CN" w:bidi="ar-SA"/>
        </w:rPr>
        <w:t>，</w:t>
      </w:r>
      <w:r>
        <w:rPr>
          <w:rFonts w:hint="default" w:ascii="Times New Roman" w:hAnsi="Times New Roman" w:eastAsia="楷体" w:cs="Times New Roman"/>
          <w:color w:val="000000"/>
          <w:kern w:val="2"/>
          <w:sz w:val="28"/>
          <w:szCs w:val="28"/>
          <w:lang w:val="en-US" w:eastAsia="zh-CN" w:bidi="ar-SA"/>
        </w:rPr>
        <w:t>满足《大气污染物综合排放标准》（GB16297-1996）表2中无组织颗粒物排放浓度限值</w:t>
      </w:r>
      <w:r>
        <w:rPr>
          <w:rFonts w:hint="eastAsia" w:ascii="楷体_GB2312" w:hAnsi="宋体" w:eastAsia="楷体_GB2312" w:cs="Times New Roman"/>
          <w:kern w:val="2"/>
          <w:sz w:val="28"/>
          <w:szCs w:val="28"/>
          <w:lang w:val="en-US" w:eastAsia="zh-CN" w:bidi="ar-SA"/>
        </w:rPr>
        <w:t>。</w:t>
      </w:r>
    </w:p>
    <w:p>
      <w:pPr>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lang w:val="en-US" w:eastAsia="zh-CN"/>
        </w:rPr>
        <w:t>3</w:t>
      </w:r>
      <w:r>
        <w:rPr>
          <w:rFonts w:ascii="楷体_GB2312" w:hAnsi="宋体" w:eastAsia="楷体_GB2312"/>
          <w:sz w:val="28"/>
          <w:szCs w:val="28"/>
        </w:rPr>
        <w:t xml:space="preserve">. </w:t>
      </w:r>
      <w:r>
        <w:rPr>
          <w:rFonts w:hint="eastAsia" w:ascii="楷体_GB2312" w:hAnsi="宋体" w:eastAsia="楷体_GB2312"/>
          <w:sz w:val="28"/>
          <w:szCs w:val="28"/>
        </w:rPr>
        <w:t>噪声</w:t>
      </w:r>
    </w:p>
    <w:p>
      <w:pPr>
        <w:spacing w:beforeLines="50" w:line="360" w:lineRule="auto"/>
        <w:ind w:firstLine="560" w:firstLineChars="200"/>
        <w:rPr>
          <w:rFonts w:hint="eastAsia" w:ascii="楷体" w:hAnsi="楷体" w:eastAsia="楷体" w:cs="楷体"/>
          <w:sz w:val="28"/>
          <w:szCs w:val="28"/>
        </w:rPr>
      </w:pPr>
      <w:r>
        <w:rPr>
          <w:rFonts w:hint="default" w:ascii="Times New Roman" w:hAnsi="Times New Roman" w:eastAsia="楷体" w:cs="Times New Roman"/>
          <w:sz w:val="28"/>
          <w:szCs w:val="28"/>
          <w:highlight w:val="none"/>
          <w:lang w:val="en-US" w:eastAsia="zh-CN"/>
        </w:rPr>
        <w:t>验收监测期间，监测点位昼间噪声在57.1dB(A)-59.7dB(A)之间，符合《工业企业厂界环境噪声排放标准》（GB12348</w:t>
      </w:r>
      <w:r>
        <w:rPr>
          <w:rFonts w:hint="eastAsia" w:ascii="Times New Roman" w:hAnsi="Times New Roman" w:eastAsia="楷体" w:cs="Times New Roman"/>
          <w:sz w:val="28"/>
          <w:szCs w:val="28"/>
          <w:highlight w:val="none"/>
          <w:lang w:val="en-US" w:eastAsia="zh-CN"/>
        </w:rPr>
        <w:t>-</w:t>
      </w:r>
      <w:r>
        <w:rPr>
          <w:rFonts w:hint="default" w:ascii="Times New Roman" w:hAnsi="Times New Roman" w:eastAsia="楷体" w:cs="Times New Roman"/>
          <w:sz w:val="28"/>
          <w:szCs w:val="28"/>
          <w:highlight w:val="none"/>
          <w:lang w:val="en-US" w:eastAsia="zh-CN"/>
        </w:rPr>
        <w:t>2008）中的2类标准限值</w:t>
      </w:r>
      <w:r>
        <w:rPr>
          <w:rFonts w:hint="eastAsia" w:ascii="楷体" w:hAnsi="楷体" w:eastAsia="楷体" w:cs="楷体"/>
          <w:sz w:val="28"/>
          <w:szCs w:val="28"/>
          <w:lang w:eastAsia="zh-CN"/>
        </w:rPr>
        <w:t>。</w:t>
      </w:r>
    </w:p>
    <w:p>
      <w:pPr>
        <w:numPr>
          <w:ilvl w:val="0"/>
          <w:numId w:val="4"/>
        </w:numPr>
        <w:spacing w:line="360" w:lineRule="auto"/>
        <w:ind w:firstLine="560" w:firstLineChars="200"/>
        <w:rPr>
          <w:rFonts w:hint="eastAsia" w:eastAsia="楷体_GB2312"/>
          <w:color w:val="auto"/>
          <w:sz w:val="28"/>
          <w:szCs w:val="28"/>
        </w:rPr>
      </w:pPr>
      <w:r>
        <w:rPr>
          <w:rFonts w:hint="eastAsia" w:eastAsia="楷体_GB2312"/>
          <w:color w:val="auto"/>
          <w:sz w:val="28"/>
          <w:szCs w:val="28"/>
        </w:rPr>
        <w:t>固体废物</w:t>
      </w:r>
    </w:p>
    <w:p>
      <w:pPr>
        <w:spacing w:beforeLines="50" w:line="360" w:lineRule="auto"/>
        <w:ind w:firstLine="560" w:firstLineChars="200"/>
        <w:rPr>
          <w:rFonts w:hint="eastAsia" w:ascii="楷体" w:hAnsi="楷体" w:eastAsia="楷体" w:cs="楷体"/>
          <w:sz w:val="28"/>
          <w:szCs w:val="28"/>
        </w:rPr>
      </w:pPr>
      <w:r>
        <w:rPr>
          <w:rFonts w:hint="eastAsia" w:ascii="楷体" w:hAnsi="楷体" w:eastAsia="楷体" w:cs="楷体"/>
          <w:sz w:val="28"/>
          <w:szCs w:val="28"/>
          <w:lang w:val="en-US" w:eastAsia="zh-CN"/>
        </w:rPr>
        <w:t>项目冷拔工序产生的氧化铁皮，切割工序产生的下脚料及铁屑，收集后外售物资回收公司。生活垃圾由环卫部门统一清运。固体废物按照《一般工业固体废物贮存、处置场污染控制标准》（GB18599-2001）及其修改单要求建设储存设施统一收集，做好储存设施的防渗和防雨处理，及时联系环卫部门清运。</w:t>
      </w:r>
    </w:p>
    <w:p>
      <w:pPr>
        <w:spacing w:beforeLines="50" w:line="360" w:lineRule="auto"/>
        <w:ind w:firstLine="280" w:firstLineChars="100"/>
        <w:rPr>
          <w:rFonts w:eastAsia="楷体_GB2312"/>
          <w:color w:val="000000"/>
          <w:sz w:val="28"/>
          <w:szCs w:val="28"/>
        </w:rPr>
      </w:pPr>
      <w:r>
        <w:rPr>
          <w:rFonts w:hint="eastAsia" w:eastAsia="楷体_GB2312"/>
          <w:color w:val="000000"/>
          <w:sz w:val="28"/>
          <w:szCs w:val="28"/>
        </w:rPr>
        <w:t>（二）环境管理调查</w:t>
      </w:r>
    </w:p>
    <w:p>
      <w:pPr>
        <w:spacing w:line="360" w:lineRule="auto"/>
        <w:ind w:firstLine="560" w:firstLineChars="200"/>
        <w:rPr>
          <w:rFonts w:eastAsia="楷体_GB2312"/>
          <w:color w:val="000000"/>
          <w:sz w:val="28"/>
          <w:szCs w:val="28"/>
        </w:rPr>
      </w:pPr>
      <w:r>
        <w:rPr>
          <w:rFonts w:hint="eastAsia" w:ascii="楷体" w:hAnsi="楷体" w:eastAsia="楷体" w:cs="楷体"/>
          <w:sz w:val="28"/>
          <w:szCs w:val="36"/>
          <w:lang w:eastAsia="zh-CN"/>
        </w:rPr>
        <w:t>东阿广宇精辗轴承有限公司</w:t>
      </w:r>
      <w:r>
        <w:rPr>
          <w:rFonts w:hint="eastAsia" w:eastAsia="楷体_GB2312"/>
          <w:color w:val="000000"/>
          <w:sz w:val="28"/>
          <w:szCs w:val="28"/>
        </w:rPr>
        <w:t>制定了《</w:t>
      </w:r>
      <w:r>
        <w:rPr>
          <w:rFonts w:hint="eastAsia" w:ascii="楷体" w:hAnsi="楷体" w:eastAsia="楷体" w:cs="楷体"/>
          <w:sz w:val="28"/>
          <w:szCs w:val="36"/>
          <w:lang w:eastAsia="zh-CN"/>
        </w:rPr>
        <w:t>东阿广宇精辗轴承有限公司</w:t>
      </w:r>
      <w:r>
        <w:rPr>
          <w:rFonts w:hint="eastAsia" w:eastAsia="楷体_GB2312"/>
          <w:color w:val="000000"/>
          <w:sz w:val="28"/>
          <w:szCs w:val="28"/>
        </w:rPr>
        <w:t>环保管理制度》</w:t>
      </w:r>
      <w:r>
        <w:rPr>
          <w:rFonts w:hint="eastAsia" w:eastAsia="楷体_GB2312"/>
          <w:color w:val="000000"/>
          <w:sz w:val="28"/>
          <w:szCs w:val="28"/>
          <w:lang w:eastAsia="zh-CN"/>
        </w:rPr>
        <w:t>，</w:t>
      </w:r>
      <w:r>
        <w:rPr>
          <w:rFonts w:hint="eastAsia" w:eastAsia="楷体_GB2312"/>
          <w:color w:val="000000"/>
          <w:sz w:val="28"/>
          <w:szCs w:val="28"/>
        </w:rPr>
        <w:t>并设立了相关机构。日常工作由工程部门归口管理，其主要职责是：行使公司环保工作的计划、组织、指挥、协调、检查和考核管理职能，日常一切工作须对公司负责，并由职工代表大会予以监督。</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rPr>
        <w:t>五、专家意见：</w:t>
      </w:r>
    </w:p>
    <w:p>
      <w:pPr>
        <w:spacing w:line="360" w:lineRule="auto"/>
        <w:ind w:firstLine="420" w:firstLineChars="150"/>
        <w:jc w:val="left"/>
        <w:rPr>
          <w:rFonts w:hint="eastAsia" w:ascii="楷体_GB2312" w:hAnsi="宋体" w:eastAsia="楷体_GB2312"/>
          <w:sz w:val="28"/>
          <w:szCs w:val="28"/>
        </w:rPr>
      </w:pPr>
      <w:r>
        <w:rPr>
          <w:rFonts w:hint="eastAsia" w:ascii="楷体_GB2312" w:hAnsi="宋体" w:eastAsia="楷体_GB2312"/>
          <w:sz w:val="28"/>
          <w:szCs w:val="28"/>
        </w:rPr>
        <w:t>在今后企业环保工作中，建议企业落实以下要求。</w:t>
      </w:r>
    </w:p>
    <w:p>
      <w:pPr>
        <w:pStyle w:val="5"/>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冷拔机下方加托盘。</w:t>
      </w:r>
    </w:p>
    <w:p>
      <w:pPr>
        <w:pStyle w:val="5"/>
        <w:numPr>
          <w:ilvl w:val="0"/>
          <w:numId w:val="5"/>
        </w:numPr>
        <w:ind w:left="560" w:leftChars="0" w:firstLine="0" w:firstLineChars="0"/>
        <w:rPr>
          <w:rFonts w:hint="eastAsia" w:ascii="楷体_GB2312" w:hAnsi="宋体" w:eastAsia="楷体_GB2312"/>
          <w:sz w:val="28"/>
          <w:szCs w:val="28"/>
          <w:lang w:val="en-US" w:eastAsia="zh-CN"/>
        </w:rPr>
      </w:pPr>
      <w:r>
        <w:rPr>
          <w:rFonts w:hint="eastAsia" w:ascii="楷体_GB2312" w:hAnsi="宋体" w:eastAsia="楷体_GB2312"/>
          <w:sz w:val="28"/>
          <w:szCs w:val="28"/>
          <w:lang w:val="en-US" w:eastAsia="zh-CN"/>
        </w:rPr>
        <w:t>及时清理下脚料，保持厂区卫生。</w:t>
      </w:r>
    </w:p>
    <w:p>
      <w:pPr>
        <w:spacing w:line="360" w:lineRule="auto"/>
        <w:ind w:firstLine="420" w:firstLineChars="150"/>
        <w:jc w:val="left"/>
        <w:rPr>
          <w:rFonts w:ascii="楷体_GB2312" w:hAnsi="宋体" w:eastAsia="楷体_GB2312"/>
          <w:sz w:val="28"/>
          <w:szCs w:val="28"/>
        </w:rPr>
      </w:pPr>
      <w:r>
        <w:rPr>
          <w:rFonts w:hint="eastAsia" w:ascii="楷体_GB2312" w:hAnsi="宋体" w:eastAsia="楷体_GB2312"/>
          <w:sz w:val="28"/>
          <w:szCs w:val="28"/>
          <w:lang w:eastAsia="zh-CN"/>
        </w:rPr>
        <w:t>六</w:t>
      </w:r>
      <w:r>
        <w:rPr>
          <w:rFonts w:hint="eastAsia" w:ascii="楷体_GB2312" w:hAnsi="宋体" w:eastAsia="楷体_GB2312"/>
          <w:sz w:val="28"/>
          <w:szCs w:val="28"/>
        </w:rPr>
        <w:t>、验收结论</w:t>
      </w:r>
    </w:p>
    <w:p>
      <w:pPr>
        <w:spacing w:line="360" w:lineRule="auto"/>
        <w:ind w:firstLine="555"/>
        <w:rPr>
          <w:rFonts w:ascii="楷体_GB2312" w:hAnsi="宋体" w:eastAsia="楷体_GB2312"/>
          <w:sz w:val="28"/>
          <w:szCs w:val="28"/>
        </w:rPr>
      </w:pPr>
      <w:r>
        <w:rPr>
          <w:rFonts w:hint="eastAsia" w:ascii="楷体_GB2312" w:hAnsi="宋体" w:eastAsia="楷体_GB2312"/>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firstLine="560" w:firstLineChars="200"/>
        <w:jc w:val="left"/>
        <w:rPr>
          <w:rFonts w:ascii="楷体_GB2312" w:hAnsi="宋体" w:eastAsia="楷体_GB2312"/>
          <w:sz w:val="28"/>
          <w:szCs w:val="28"/>
        </w:rPr>
      </w:pPr>
      <w:r>
        <w:rPr>
          <w:rFonts w:hint="eastAsia" w:ascii="楷体_GB2312" w:hAnsi="宋体" w:eastAsia="楷体_GB2312"/>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jc w:val="right"/>
        <w:rPr>
          <w:rFonts w:ascii="楷体_GB2312" w:hAnsi="宋体" w:eastAsia="楷体_GB2312"/>
          <w:sz w:val="28"/>
          <w:szCs w:val="28"/>
        </w:rPr>
      </w:pPr>
      <w:r>
        <w:rPr>
          <w:rFonts w:ascii="楷体_GB2312" w:hAnsi="宋体" w:eastAsia="楷体_GB2312"/>
          <w:sz w:val="28"/>
          <w:szCs w:val="28"/>
        </w:rPr>
        <w:t xml:space="preserve">                   </w:t>
      </w:r>
      <w:r>
        <w:rPr>
          <w:rFonts w:hint="eastAsia" w:ascii="楷体" w:hAnsi="楷体" w:eastAsia="楷体" w:cs="楷体"/>
          <w:sz w:val="28"/>
          <w:szCs w:val="36"/>
          <w:lang w:eastAsia="zh-CN"/>
        </w:rPr>
        <w:t>东阿广宇精辗轴承有限公司</w:t>
      </w:r>
      <w:r>
        <w:rPr>
          <w:rFonts w:hint="eastAsia" w:ascii="楷体_GB2312" w:hAnsi="宋体" w:eastAsia="楷体_GB2312"/>
          <w:sz w:val="28"/>
          <w:szCs w:val="28"/>
        </w:rPr>
        <w:t>验收组</w:t>
      </w:r>
    </w:p>
    <w:p>
      <w:pPr>
        <w:spacing w:line="360" w:lineRule="auto"/>
        <w:jc w:val="right"/>
        <w:rPr>
          <w:rFonts w:hint="eastAsia" w:eastAsia="宋体"/>
          <w:lang w:eastAsia="zh-CN"/>
        </w:rPr>
      </w:pPr>
      <w:r>
        <w:rPr>
          <w:rFonts w:ascii="楷体_GB2312" w:hAnsi="宋体" w:eastAsia="楷体_GB2312"/>
          <w:sz w:val="28"/>
          <w:szCs w:val="28"/>
        </w:rPr>
        <w:t xml:space="preserve">                            </w:t>
      </w:r>
      <w:r>
        <w:rPr>
          <w:rFonts w:ascii="楷体_GB2312" w:hAnsi="宋体" w:eastAsia="楷体_GB2312"/>
          <w:sz w:val="28"/>
          <w:szCs w:val="28"/>
          <w:highlight w:val="none"/>
        </w:rPr>
        <w:t xml:space="preserve">    2018</w:t>
      </w:r>
      <w:r>
        <w:rPr>
          <w:rFonts w:hint="eastAsia" w:ascii="楷体_GB2312" w:hAnsi="宋体" w:eastAsia="楷体_GB2312"/>
          <w:sz w:val="28"/>
          <w:szCs w:val="28"/>
          <w:highlight w:val="none"/>
        </w:rPr>
        <w:t>年</w:t>
      </w:r>
      <w:r>
        <w:rPr>
          <w:rFonts w:hint="eastAsia" w:ascii="楷体_GB2312" w:hAnsi="宋体" w:eastAsia="楷体_GB2312"/>
          <w:sz w:val="28"/>
          <w:szCs w:val="28"/>
          <w:highlight w:val="none"/>
          <w:lang w:val="en-US" w:eastAsia="zh-CN"/>
        </w:rPr>
        <w:t>9</w:t>
      </w:r>
      <w:r>
        <w:rPr>
          <w:rFonts w:hint="eastAsia" w:ascii="楷体_GB2312" w:hAnsi="宋体" w:eastAsia="楷体_GB2312"/>
          <w:sz w:val="28"/>
          <w:szCs w:val="28"/>
          <w:highlight w:val="none"/>
        </w:rPr>
        <w:t>月</w:t>
      </w:r>
      <w:r>
        <w:rPr>
          <w:rFonts w:hint="eastAsia" w:ascii="楷体_GB2312" w:hAnsi="宋体" w:eastAsia="楷体_GB2312"/>
          <w:sz w:val="28"/>
          <w:szCs w:val="28"/>
          <w:highlight w:val="none"/>
          <w:lang w:val="en-US" w:eastAsia="zh-CN"/>
        </w:rPr>
        <w:t>14</w:t>
      </w:r>
      <w:bookmarkStart w:id="0" w:name="_GoBack"/>
      <w:bookmarkEnd w:id="0"/>
      <w:r>
        <w:rPr>
          <w:rFonts w:hint="eastAsia" w:ascii="楷体_GB2312" w:hAnsi="宋体" w:eastAsia="楷体_GB2312"/>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A775B6C"/>
    <w:rsid w:val="0BB105F9"/>
    <w:rsid w:val="0BCD78E3"/>
    <w:rsid w:val="0BD4352F"/>
    <w:rsid w:val="110D6D4E"/>
    <w:rsid w:val="13242E95"/>
    <w:rsid w:val="136E6BCB"/>
    <w:rsid w:val="13C97717"/>
    <w:rsid w:val="16D20B22"/>
    <w:rsid w:val="18D05E89"/>
    <w:rsid w:val="19BD6A9B"/>
    <w:rsid w:val="1AAF6CA7"/>
    <w:rsid w:val="2594604A"/>
    <w:rsid w:val="26B564F3"/>
    <w:rsid w:val="27420539"/>
    <w:rsid w:val="286B6E9D"/>
    <w:rsid w:val="2BC712F1"/>
    <w:rsid w:val="2BFB35B9"/>
    <w:rsid w:val="31572BC2"/>
    <w:rsid w:val="39D31BFF"/>
    <w:rsid w:val="39D9507A"/>
    <w:rsid w:val="3B2962D5"/>
    <w:rsid w:val="3C614E95"/>
    <w:rsid w:val="42D02360"/>
    <w:rsid w:val="440B2C50"/>
    <w:rsid w:val="45B12AB5"/>
    <w:rsid w:val="516D3DB9"/>
    <w:rsid w:val="52082039"/>
    <w:rsid w:val="520B1012"/>
    <w:rsid w:val="56DD1623"/>
    <w:rsid w:val="5F0C4CFF"/>
    <w:rsid w:val="65826A80"/>
    <w:rsid w:val="66FB5067"/>
    <w:rsid w:val="6A4209DB"/>
    <w:rsid w:val="6AB12CAA"/>
    <w:rsid w:val="6ABA50EB"/>
    <w:rsid w:val="6DEB0CC4"/>
    <w:rsid w:val="6E620EC2"/>
    <w:rsid w:val="70924611"/>
    <w:rsid w:val="74E41702"/>
    <w:rsid w:val="77930543"/>
    <w:rsid w:val="7E121CF0"/>
    <w:rsid w:val="7E2F6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9">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styleId="10">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Stolee</cp:lastModifiedBy>
  <dcterms:modified xsi:type="dcterms:W3CDTF">2018-09-14T00:58:49Z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