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default" w:ascii="Times New Roman" w:hAnsi="Times New Roman" w:eastAsia="楷体" w:cs="Times New Roman"/>
          <w:b/>
          <w:sz w:val="28"/>
          <w:szCs w:val="28"/>
        </w:rPr>
      </w:pPr>
      <w:r>
        <w:rPr>
          <w:rFonts w:hint="default" w:ascii="Times New Roman" w:hAnsi="Times New Roman" w:eastAsia="楷体" w:cs="Times New Roman"/>
          <w:b/>
          <w:sz w:val="28"/>
          <w:szCs w:val="28"/>
          <w:lang w:val="en-US" w:eastAsia="zh-CN"/>
        </w:rPr>
        <w:t>聊城市未来彩印包装有限公司年产60吨塑料包装膜，60吨塑料包装袋改扩建项目（一期：年产33吨塑料包装膜，15吨塑料包装袋）</w:t>
      </w:r>
      <w:r>
        <w:rPr>
          <w:rFonts w:hint="default" w:ascii="Times New Roman" w:hAnsi="Times New Roman" w:eastAsia="楷体" w:cs="Times New Roman"/>
          <w:b/>
          <w:sz w:val="28"/>
          <w:szCs w:val="28"/>
          <w:lang w:val="en-US" w:eastAsia="zh-CN"/>
        </w:rPr>
        <w:t>竣工</w:t>
      </w:r>
      <w:r>
        <w:rPr>
          <w:rFonts w:hint="default" w:ascii="Times New Roman" w:hAnsi="Times New Roman" w:eastAsia="楷体" w:cs="Times New Roman"/>
          <w:b/>
          <w:sz w:val="28"/>
          <w:szCs w:val="28"/>
        </w:rPr>
        <w:t>环境保护验收</w:t>
      </w:r>
    </w:p>
    <w:p>
      <w:pPr>
        <w:tabs>
          <w:tab w:val="left" w:pos="360"/>
        </w:tabs>
        <w:spacing w:line="360" w:lineRule="auto"/>
        <w:ind w:left="298" w:leftChars="142"/>
        <w:jc w:val="center"/>
        <w:rPr>
          <w:rFonts w:hint="default" w:ascii="Times New Roman" w:hAnsi="Times New Roman" w:eastAsia="楷体" w:cs="Times New Roman"/>
          <w:b/>
          <w:sz w:val="28"/>
          <w:szCs w:val="28"/>
        </w:rPr>
      </w:pPr>
      <w:r>
        <w:rPr>
          <w:rFonts w:hint="default" w:ascii="Times New Roman" w:hAnsi="Times New Roman" w:eastAsia="楷体" w:cs="Times New Roman"/>
          <w:b/>
          <w:sz w:val="28"/>
          <w:szCs w:val="28"/>
        </w:rPr>
        <w:t>现场检查及验收工作组验收意见</w:t>
      </w:r>
    </w:p>
    <w:p>
      <w:pPr>
        <w:tabs>
          <w:tab w:val="left" w:pos="360"/>
        </w:tabs>
        <w:spacing w:line="360" w:lineRule="auto"/>
        <w:ind w:left="298" w:leftChars="142"/>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rPr>
        <w:t xml:space="preserve">     </w:t>
      </w:r>
      <w:r>
        <w:rPr>
          <w:rFonts w:hint="default" w:ascii="Times New Roman" w:hAnsi="Times New Roman" w:eastAsia="楷体" w:cs="Times New Roman"/>
          <w:sz w:val="28"/>
          <w:szCs w:val="28"/>
          <w:highlight w:val="none"/>
        </w:rPr>
        <w:t>2018年</w:t>
      </w:r>
      <w:r>
        <w:rPr>
          <w:rFonts w:hint="default" w:ascii="Times New Roman" w:hAnsi="Times New Roman" w:eastAsia="楷体" w:cs="Times New Roman"/>
          <w:sz w:val="28"/>
          <w:szCs w:val="28"/>
          <w:highlight w:val="none"/>
          <w:lang w:val="en-US" w:eastAsia="zh-CN"/>
        </w:rPr>
        <w:t>10</w:t>
      </w:r>
      <w:r>
        <w:rPr>
          <w:rFonts w:hint="default" w:ascii="Times New Roman" w:hAnsi="Times New Roman" w:eastAsia="楷体" w:cs="Times New Roman"/>
          <w:sz w:val="28"/>
          <w:szCs w:val="28"/>
          <w:highlight w:val="none"/>
        </w:rPr>
        <w:t>月</w:t>
      </w:r>
      <w:r>
        <w:rPr>
          <w:rFonts w:hint="default" w:ascii="Times New Roman" w:hAnsi="Times New Roman" w:eastAsia="楷体" w:cs="Times New Roman"/>
          <w:sz w:val="28"/>
          <w:szCs w:val="28"/>
          <w:highlight w:val="none"/>
          <w:lang w:val="en-US" w:eastAsia="zh-CN"/>
        </w:rPr>
        <w:t>5</w:t>
      </w:r>
      <w:r>
        <w:rPr>
          <w:rFonts w:hint="default" w:ascii="Times New Roman" w:hAnsi="Times New Roman" w:eastAsia="楷体" w:cs="Times New Roman"/>
          <w:sz w:val="28"/>
          <w:szCs w:val="28"/>
          <w:highlight w:val="none"/>
        </w:rPr>
        <w:t>日</w:t>
      </w:r>
      <w:r>
        <w:rPr>
          <w:rFonts w:hint="default" w:ascii="Times New Roman" w:hAnsi="Times New Roman" w:eastAsia="楷体" w:cs="Times New Roman"/>
          <w:sz w:val="28"/>
          <w:szCs w:val="28"/>
        </w:rPr>
        <w:t>，</w:t>
      </w:r>
      <w:r>
        <w:rPr>
          <w:rFonts w:hint="default" w:ascii="Times New Roman" w:hAnsi="Times New Roman" w:eastAsia="楷体" w:cs="Times New Roman"/>
          <w:sz w:val="28"/>
          <w:szCs w:val="28"/>
          <w:lang w:val="en-US" w:eastAsia="zh-CN"/>
        </w:rPr>
        <w:t>聊城市未来彩印包装有限公司</w:t>
      </w:r>
      <w:r>
        <w:rPr>
          <w:rFonts w:hint="default" w:ascii="Times New Roman" w:hAnsi="Times New Roman" w:eastAsia="楷体" w:cs="Times New Roman"/>
          <w:sz w:val="28"/>
          <w:szCs w:val="28"/>
          <w:highlight w:val="none"/>
        </w:rPr>
        <w:t>组织召开</w:t>
      </w:r>
      <w:r>
        <w:rPr>
          <w:rFonts w:hint="default" w:ascii="Times New Roman" w:hAnsi="Times New Roman" w:eastAsia="楷体" w:cs="Times New Roman"/>
          <w:sz w:val="28"/>
          <w:szCs w:val="28"/>
          <w:highlight w:val="none"/>
          <w:lang w:val="en-US" w:eastAsia="zh-CN"/>
        </w:rPr>
        <w:t>年产60吨塑料包装膜，60吨塑料包装袋改扩建项目（一期：年产33吨塑料包装膜，15吨塑料包装袋）</w:t>
      </w:r>
      <w:r>
        <w:rPr>
          <w:rFonts w:hint="default" w:ascii="Times New Roman" w:hAnsi="Times New Roman" w:eastAsia="楷体" w:cs="Times New Roman"/>
          <w:sz w:val="28"/>
          <w:szCs w:val="28"/>
          <w:highlight w:val="none"/>
        </w:rPr>
        <w:t>竣</w:t>
      </w:r>
      <w:r>
        <w:rPr>
          <w:rFonts w:hint="default" w:ascii="Times New Roman" w:hAnsi="Times New Roman" w:eastAsia="楷体" w:cs="Times New Roman"/>
          <w:sz w:val="28"/>
          <w:szCs w:val="28"/>
        </w:rPr>
        <w:t>工环境保护验收现场检查及验收及验收会。验收工作组由工程建设单位（</w:t>
      </w:r>
      <w:r>
        <w:rPr>
          <w:rFonts w:hint="default" w:ascii="Times New Roman" w:hAnsi="Times New Roman" w:eastAsia="楷体" w:cs="Times New Roman"/>
          <w:sz w:val="28"/>
          <w:szCs w:val="28"/>
          <w:lang w:val="en-US" w:eastAsia="zh-CN"/>
        </w:rPr>
        <w:t>聊城市未来彩印包装有限公司</w:t>
      </w:r>
      <w:r>
        <w:rPr>
          <w:rFonts w:hint="default" w:ascii="Times New Roman" w:hAnsi="Times New Roman" w:eastAsia="楷体" w:cs="Times New Roman"/>
          <w:sz w:val="28"/>
          <w:szCs w:val="28"/>
        </w:rPr>
        <w:t>）、环评单位（</w:t>
      </w:r>
      <w:r>
        <w:rPr>
          <w:rFonts w:hint="default" w:ascii="Times New Roman" w:hAnsi="Times New Roman" w:eastAsia="楷体" w:cs="Times New Roman"/>
          <w:color w:val="auto"/>
          <w:sz w:val="28"/>
          <w:szCs w:val="28"/>
          <w:lang w:val="en-US" w:eastAsia="zh-CN"/>
        </w:rPr>
        <w:t>聊城大学</w:t>
      </w:r>
      <w:r>
        <w:rPr>
          <w:rFonts w:hint="default" w:ascii="Times New Roman" w:hAnsi="Times New Roman" w:eastAsia="楷体" w:cs="Times New Roman"/>
          <w:sz w:val="28"/>
          <w:szCs w:val="28"/>
        </w:rPr>
        <w:t>）、监测单位（</w:t>
      </w:r>
      <w:r>
        <w:rPr>
          <w:rFonts w:hint="default" w:ascii="Times New Roman" w:hAnsi="Times New Roman" w:eastAsia="楷体" w:cs="Times New Roman"/>
          <w:sz w:val="28"/>
          <w:szCs w:val="28"/>
          <w:lang w:eastAsia="zh-CN"/>
        </w:rPr>
        <w:t>山东聊和环保科技有限公司</w:t>
      </w:r>
      <w:r>
        <w:rPr>
          <w:rFonts w:hint="default" w:ascii="Times New Roman" w:hAnsi="Times New Roman" w:eastAsia="楷体" w:cs="Times New Roman"/>
          <w:sz w:val="28"/>
          <w:szCs w:val="28"/>
        </w:rPr>
        <w:t>）并特邀</w:t>
      </w:r>
      <w:r>
        <w:rPr>
          <w:rFonts w:hint="default" w:ascii="Times New Roman" w:hAnsi="Times New Roman" w:eastAsia="楷体" w:cs="Times New Roman"/>
          <w:sz w:val="28"/>
          <w:szCs w:val="28"/>
          <w:lang w:val="en-US" w:eastAsia="zh-CN"/>
        </w:rPr>
        <w:t>2</w:t>
      </w:r>
      <w:r>
        <w:rPr>
          <w:rFonts w:hint="default" w:ascii="Times New Roman" w:hAnsi="Times New Roman" w:eastAsia="楷体" w:cs="Times New Roman"/>
          <w:sz w:val="28"/>
          <w:szCs w:val="28"/>
        </w:rPr>
        <w:t>名技术专家（名单附后）组成。</w:t>
      </w:r>
    </w:p>
    <w:p>
      <w:pPr>
        <w:tabs>
          <w:tab w:val="left" w:pos="360"/>
        </w:tabs>
        <w:spacing w:line="360" w:lineRule="auto"/>
        <w:ind w:left="298" w:leftChars="142" w:firstLine="560" w:firstLineChars="200"/>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rPr>
        <w:t>一、工程建设基本情况</w:t>
      </w:r>
    </w:p>
    <w:p>
      <w:pPr>
        <w:tabs>
          <w:tab w:val="left" w:pos="360"/>
        </w:tabs>
        <w:spacing w:line="360" w:lineRule="auto"/>
        <w:ind w:left="298" w:leftChars="142" w:firstLine="560" w:firstLineChars="200"/>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rPr>
        <w:t>（一）建设地点、规模、主要建设内容</w:t>
      </w:r>
    </w:p>
    <w:p>
      <w:pPr>
        <w:pStyle w:val="3"/>
        <w:numPr>
          <w:ilvl w:val="0"/>
          <w:numId w:val="0"/>
        </w:numPr>
        <w:spacing w:line="360" w:lineRule="auto"/>
        <w:ind w:left="0" w:leftChars="0" w:firstLine="840" w:firstLineChars="300"/>
        <w:rPr>
          <w:rFonts w:hint="default" w:ascii="Times New Roman" w:hAnsi="Times New Roman" w:eastAsia="楷体" w:cs="Times New Roman"/>
          <w:sz w:val="28"/>
          <w:szCs w:val="28"/>
        </w:rPr>
      </w:pPr>
      <w:r>
        <w:rPr>
          <w:rFonts w:hint="default" w:ascii="Times New Roman" w:hAnsi="Times New Roman" w:eastAsia="楷体" w:cs="Times New Roman"/>
          <w:sz w:val="28"/>
          <w:szCs w:val="28"/>
        </w:rPr>
        <w:t>项目建设地点</w:t>
      </w:r>
      <w:r>
        <w:rPr>
          <w:rFonts w:hint="default" w:ascii="Times New Roman" w:hAnsi="Times New Roman" w:eastAsia="楷体" w:cs="Times New Roman"/>
          <w:sz w:val="28"/>
          <w:szCs w:val="28"/>
          <w:lang w:eastAsia="zh-CN"/>
        </w:rPr>
        <w:t>位于</w:t>
      </w:r>
      <w:r>
        <w:rPr>
          <w:rFonts w:hint="default" w:ascii="Times New Roman" w:hAnsi="Times New Roman" w:eastAsia="楷体" w:cs="Times New Roman"/>
          <w:sz w:val="28"/>
          <w:szCs w:val="28"/>
          <w:lang w:eastAsia="zh-CN"/>
        </w:rPr>
        <w:t>聊城高新技术产业开发区顾官屯镇扒刘村西首</w:t>
      </w:r>
      <w:r>
        <w:rPr>
          <w:rFonts w:hint="default" w:ascii="Times New Roman" w:hAnsi="Times New Roman" w:eastAsia="楷体" w:cs="Times New Roman"/>
          <w:sz w:val="28"/>
          <w:szCs w:val="28"/>
          <w:lang w:val="en-US" w:eastAsia="zh-CN"/>
        </w:rPr>
        <w:t>。项目</w:t>
      </w:r>
      <w:r>
        <w:rPr>
          <w:rFonts w:hint="default" w:ascii="Times New Roman" w:hAnsi="Times New Roman" w:eastAsia="楷体" w:cs="Times New Roman"/>
          <w:sz w:val="28"/>
          <w:szCs w:val="28"/>
          <w:lang w:eastAsia="zh-CN"/>
        </w:rPr>
        <w:t>总投资</w:t>
      </w:r>
      <w:r>
        <w:rPr>
          <w:rFonts w:hint="default" w:ascii="Times New Roman" w:hAnsi="Times New Roman" w:eastAsia="楷体" w:cs="Times New Roman"/>
          <w:sz w:val="28"/>
          <w:szCs w:val="28"/>
          <w:lang w:val="en-US" w:eastAsia="zh-CN"/>
        </w:rPr>
        <w:t>700</w:t>
      </w:r>
      <w:r>
        <w:rPr>
          <w:rFonts w:hint="default" w:ascii="Times New Roman" w:hAnsi="Times New Roman" w:eastAsia="楷体" w:cs="Times New Roman"/>
          <w:sz w:val="28"/>
          <w:szCs w:val="28"/>
          <w:lang w:val="en-US" w:eastAsia="zh-CN"/>
        </w:rPr>
        <w:t>万元（一期投资352万元），</w:t>
      </w:r>
      <w:r>
        <w:rPr>
          <w:rFonts w:hint="default" w:ascii="Times New Roman" w:hAnsi="Times New Roman" w:eastAsia="楷体" w:cs="Times New Roman"/>
          <w:sz w:val="28"/>
          <w:szCs w:val="28"/>
        </w:rPr>
        <w:t>占地</w:t>
      </w:r>
      <w:r>
        <w:rPr>
          <w:rFonts w:hint="default" w:ascii="Times New Roman" w:hAnsi="Times New Roman" w:eastAsia="楷体" w:cs="Times New Roman"/>
          <w:sz w:val="28"/>
          <w:szCs w:val="28"/>
          <w:lang w:eastAsia="zh-CN"/>
        </w:rPr>
        <w:t>面积</w:t>
      </w:r>
      <w:r>
        <w:rPr>
          <w:rFonts w:hint="default" w:ascii="Times New Roman" w:hAnsi="Times New Roman" w:eastAsia="楷体" w:cs="Times New Roman"/>
          <w:sz w:val="28"/>
          <w:szCs w:val="28"/>
          <w:lang w:val="en-US" w:eastAsia="zh-CN"/>
        </w:rPr>
        <w:t>6000</w:t>
      </w:r>
      <w:r>
        <w:rPr>
          <w:rFonts w:hint="default" w:ascii="Times New Roman" w:hAnsi="Times New Roman" w:eastAsia="楷体" w:cs="Times New Roman"/>
          <w:sz w:val="28"/>
          <w:szCs w:val="28"/>
        </w:rPr>
        <w:t>m</w:t>
      </w:r>
      <w:r>
        <w:rPr>
          <w:rFonts w:hint="default" w:ascii="Times New Roman" w:hAnsi="Times New Roman" w:eastAsia="楷体" w:cs="Times New Roman"/>
          <w:sz w:val="28"/>
          <w:szCs w:val="28"/>
          <w:vertAlign w:val="superscript"/>
        </w:rPr>
        <w:t>2</w:t>
      </w:r>
      <w:r>
        <w:rPr>
          <w:rFonts w:hint="default" w:ascii="Times New Roman" w:hAnsi="Times New Roman" w:eastAsia="楷体" w:cs="Times New Roman"/>
          <w:sz w:val="28"/>
          <w:szCs w:val="28"/>
        </w:rPr>
        <w:t>，</w:t>
      </w:r>
      <w:r>
        <w:rPr>
          <w:rFonts w:hint="default" w:ascii="Times New Roman" w:hAnsi="Times New Roman" w:eastAsia="楷体" w:cs="Times New Roman"/>
          <w:sz w:val="28"/>
          <w:szCs w:val="28"/>
          <w:lang w:eastAsia="zh-CN"/>
        </w:rPr>
        <w:t>建设</w:t>
      </w:r>
      <w:r>
        <w:rPr>
          <w:rFonts w:hint="default" w:ascii="Times New Roman" w:hAnsi="Times New Roman" w:eastAsia="楷体" w:cs="Times New Roman"/>
          <w:sz w:val="28"/>
          <w:szCs w:val="28"/>
          <w:lang w:val="en-US" w:eastAsia="zh-CN"/>
        </w:rPr>
        <w:t>年产60吨塑料包装膜，60吨塑料包装袋改扩建项目（一期：年产33吨塑料包装膜，15吨塑料包装袋）</w:t>
      </w:r>
      <w:r>
        <w:rPr>
          <w:rFonts w:hint="default" w:ascii="Times New Roman" w:hAnsi="Times New Roman" w:eastAsia="楷体" w:cs="Times New Roman"/>
          <w:sz w:val="28"/>
          <w:szCs w:val="28"/>
          <w:lang w:val="en-US" w:eastAsia="zh-CN"/>
        </w:rPr>
        <w:t>，购置</w:t>
      </w:r>
      <w:r>
        <w:rPr>
          <w:rFonts w:hint="default" w:ascii="Times New Roman" w:hAnsi="Times New Roman" w:eastAsia="楷体" w:cs="Times New Roman"/>
          <w:sz w:val="28"/>
          <w:szCs w:val="28"/>
          <w:lang w:val="en-US" w:eastAsia="zh-CN"/>
        </w:rPr>
        <w:t>印刷机、干式复合机、高速分切机及制袋机</w:t>
      </w:r>
      <w:r>
        <w:rPr>
          <w:rFonts w:hint="default" w:ascii="Times New Roman" w:hAnsi="Times New Roman" w:eastAsia="楷体" w:cs="Times New Roman"/>
          <w:sz w:val="28"/>
          <w:szCs w:val="28"/>
          <w:lang w:val="en-US" w:eastAsia="zh-CN"/>
        </w:rPr>
        <w:t>等设备</w:t>
      </w:r>
      <w:r>
        <w:rPr>
          <w:rFonts w:hint="default" w:ascii="Times New Roman" w:hAnsi="Times New Roman" w:eastAsia="楷体" w:cs="Times New Roman"/>
          <w:sz w:val="28"/>
          <w:szCs w:val="28"/>
          <w:lang w:eastAsia="zh-CN"/>
        </w:rPr>
        <w:t>及</w:t>
      </w:r>
      <w:r>
        <w:rPr>
          <w:rFonts w:hint="default" w:ascii="Times New Roman" w:hAnsi="Times New Roman" w:eastAsia="楷体" w:cs="Times New Roman"/>
          <w:sz w:val="28"/>
          <w:szCs w:val="28"/>
          <w:lang w:eastAsia="zh-CN"/>
        </w:rPr>
        <w:t>配套环保设施。</w:t>
      </w:r>
    </w:p>
    <w:p>
      <w:pPr>
        <w:tabs>
          <w:tab w:val="left" w:pos="360"/>
        </w:tabs>
        <w:spacing w:line="360" w:lineRule="auto"/>
        <w:ind w:left="298" w:leftChars="142" w:firstLine="560" w:firstLineChars="200"/>
        <w:jc w:val="left"/>
        <w:rPr>
          <w:rFonts w:hint="default" w:ascii="Times New Roman" w:hAnsi="Times New Roman" w:eastAsia="楷体" w:cs="Times New Roman"/>
          <w:sz w:val="28"/>
          <w:szCs w:val="28"/>
          <w:lang w:val="en-US" w:eastAsia="zh-CN"/>
        </w:rPr>
      </w:pPr>
      <w:r>
        <w:rPr>
          <w:rFonts w:hint="default" w:ascii="Times New Roman" w:hAnsi="Times New Roman" w:eastAsia="楷体" w:cs="Times New Roman"/>
          <w:sz w:val="28"/>
          <w:szCs w:val="28"/>
        </w:rPr>
        <w:t>建设性质为</w:t>
      </w:r>
      <w:r>
        <w:rPr>
          <w:rFonts w:hint="default" w:ascii="Times New Roman" w:hAnsi="Times New Roman" w:eastAsia="楷体" w:cs="Times New Roman"/>
          <w:sz w:val="28"/>
          <w:szCs w:val="28"/>
          <w:lang w:val="en-US" w:eastAsia="zh-CN"/>
        </w:rPr>
        <w:t>改扩建</w:t>
      </w:r>
      <w:r>
        <w:rPr>
          <w:rFonts w:hint="default" w:ascii="Times New Roman" w:hAnsi="Times New Roman" w:eastAsia="楷体" w:cs="Times New Roman"/>
          <w:sz w:val="28"/>
          <w:szCs w:val="28"/>
        </w:rPr>
        <w:t>，项目生产规模为：</w:t>
      </w:r>
      <w:r>
        <w:rPr>
          <w:rFonts w:hint="default" w:ascii="Times New Roman" w:hAnsi="Times New Roman" w:eastAsia="楷体" w:cs="Times New Roman"/>
          <w:sz w:val="28"/>
          <w:szCs w:val="28"/>
          <w:lang w:val="en-US" w:eastAsia="zh-CN"/>
        </w:rPr>
        <w:t>年产60吨塑料包装膜，60吨塑料包装袋改扩建项目（一期：年产33吨塑料包装膜，15吨塑料包装袋）</w:t>
      </w:r>
    </w:p>
    <w:p>
      <w:pPr>
        <w:tabs>
          <w:tab w:val="left" w:pos="360"/>
        </w:tabs>
        <w:spacing w:line="360" w:lineRule="auto"/>
        <w:ind w:left="298" w:leftChars="142" w:firstLine="560" w:firstLineChars="200"/>
        <w:jc w:val="left"/>
        <w:rPr>
          <w:rFonts w:hint="default" w:ascii="Times New Roman" w:hAnsi="Times New Roman" w:eastAsia="楷体" w:cs="Times New Roman"/>
          <w:kern w:val="2"/>
          <w:sz w:val="28"/>
          <w:szCs w:val="28"/>
          <w:lang w:val="en-US" w:eastAsia="zh-CN" w:bidi="ar-SA"/>
        </w:rPr>
      </w:pPr>
    </w:p>
    <w:p>
      <w:pPr>
        <w:tabs>
          <w:tab w:val="left" w:pos="360"/>
        </w:tabs>
        <w:spacing w:line="360" w:lineRule="auto"/>
        <w:ind w:left="298" w:leftChars="142" w:firstLine="560" w:firstLineChars="200"/>
        <w:jc w:val="left"/>
        <w:rPr>
          <w:rFonts w:hint="default" w:ascii="Times New Roman" w:hAnsi="Times New Roman" w:eastAsia="楷体" w:cs="Times New Roman"/>
          <w:kern w:val="2"/>
          <w:sz w:val="28"/>
          <w:szCs w:val="28"/>
          <w:lang w:val="en-US" w:eastAsia="zh-CN" w:bidi="ar-SA"/>
        </w:rPr>
      </w:pPr>
      <w:r>
        <w:rPr>
          <w:rFonts w:hint="default" w:ascii="Times New Roman" w:hAnsi="Times New Roman" w:eastAsia="楷体" w:cs="Times New Roman"/>
          <w:kern w:val="2"/>
          <w:sz w:val="28"/>
          <w:szCs w:val="28"/>
          <w:lang w:val="en-US" w:eastAsia="zh-CN" w:bidi="ar-SA"/>
        </w:rPr>
        <w:t>（二）环保审批情况</w:t>
      </w:r>
    </w:p>
    <w:p>
      <w:pPr>
        <w:tabs>
          <w:tab w:val="left" w:pos="360"/>
        </w:tabs>
        <w:spacing w:line="360" w:lineRule="auto"/>
        <w:ind w:left="298" w:leftChars="142" w:firstLine="560" w:firstLineChars="200"/>
        <w:jc w:val="left"/>
        <w:rPr>
          <w:rFonts w:hint="default" w:ascii="Times New Roman" w:hAnsi="Times New Roman" w:eastAsia="楷体" w:cs="Times New Roman"/>
          <w:kern w:val="2"/>
          <w:sz w:val="28"/>
          <w:szCs w:val="28"/>
          <w:lang w:val="en-US" w:eastAsia="zh-CN" w:bidi="ar-SA"/>
        </w:rPr>
      </w:pPr>
      <w:r>
        <w:rPr>
          <w:rFonts w:hint="default" w:ascii="Times New Roman" w:hAnsi="Times New Roman" w:eastAsia="楷体" w:cs="Times New Roman"/>
          <w:kern w:val="2"/>
          <w:sz w:val="28"/>
          <w:szCs w:val="28"/>
          <w:lang w:val="en-US" w:eastAsia="zh-CN" w:bidi="ar-SA"/>
        </w:rPr>
        <w:t>2017年6月聊城市未来彩印包装有限公司委托聊城大学编制了《聊城市未来彩印包装有限公司年产60吨塑料包装膜，60吨塑料包装袋改扩建项目环境影响报告表》，2017年7月4日聊城市环境保护局高新技术产业开发区分局以聊高新环报告表[2017]44号对其进行了审批。2018年8月公司委托山东聊和环保科技有限公司进行该项目的环保验收监测工作，接受委托后山东聊和环保科技有限公司组织有关技术人员进行现场踏勘，依据监测技术规范制定了环保验收监测方案，并于2018年9月17日-18日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default" w:ascii="Times New Roman" w:hAnsi="Times New Roman" w:eastAsia="楷体" w:cs="Times New Roman"/>
          <w:kern w:val="2"/>
          <w:sz w:val="28"/>
          <w:szCs w:val="28"/>
          <w:lang w:val="en-US" w:eastAsia="zh-CN" w:bidi="ar-SA"/>
        </w:rPr>
      </w:pPr>
      <w:r>
        <w:rPr>
          <w:rFonts w:hint="default" w:ascii="Times New Roman" w:hAnsi="Times New Roman" w:eastAsia="楷体" w:cs="Times New Roman"/>
          <w:kern w:val="2"/>
          <w:sz w:val="28"/>
          <w:szCs w:val="28"/>
          <w:lang w:val="en-US" w:eastAsia="zh-CN" w:bidi="ar-SA"/>
        </w:rPr>
        <w:t>（三）投资情况</w:t>
      </w:r>
    </w:p>
    <w:p>
      <w:pPr>
        <w:tabs>
          <w:tab w:val="left" w:pos="360"/>
        </w:tabs>
        <w:spacing w:line="360" w:lineRule="auto"/>
        <w:ind w:left="298" w:leftChars="142" w:firstLine="560" w:firstLineChars="200"/>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rPr>
        <w:t>项目</w:t>
      </w:r>
      <w:r>
        <w:rPr>
          <w:rFonts w:hint="default" w:ascii="Times New Roman" w:hAnsi="Times New Roman" w:eastAsia="楷体" w:cs="Times New Roman"/>
          <w:sz w:val="28"/>
          <w:szCs w:val="28"/>
          <w:lang w:eastAsia="zh-CN"/>
        </w:rPr>
        <w:t>一期</w:t>
      </w:r>
      <w:r>
        <w:rPr>
          <w:rFonts w:hint="default" w:ascii="Times New Roman" w:hAnsi="Times New Roman" w:eastAsia="楷体" w:cs="Times New Roman"/>
          <w:sz w:val="28"/>
          <w:szCs w:val="28"/>
        </w:rPr>
        <w:t>实际总投资</w:t>
      </w:r>
      <w:r>
        <w:rPr>
          <w:rFonts w:hint="default" w:ascii="Times New Roman" w:hAnsi="Times New Roman" w:eastAsia="楷体" w:cs="Times New Roman"/>
          <w:sz w:val="28"/>
          <w:szCs w:val="28"/>
          <w:lang w:val="en-US" w:eastAsia="zh-CN"/>
        </w:rPr>
        <w:t>352</w:t>
      </w:r>
      <w:r>
        <w:rPr>
          <w:rFonts w:hint="default" w:ascii="Times New Roman" w:hAnsi="Times New Roman" w:eastAsia="楷体" w:cs="Times New Roman"/>
          <w:sz w:val="28"/>
          <w:szCs w:val="28"/>
        </w:rPr>
        <w:t>万元，其中环保投资</w:t>
      </w:r>
      <w:r>
        <w:rPr>
          <w:rFonts w:hint="default" w:ascii="Times New Roman" w:hAnsi="Times New Roman" w:eastAsia="楷体" w:cs="Times New Roman"/>
          <w:sz w:val="28"/>
          <w:szCs w:val="28"/>
          <w:lang w:val="en-US" w:eastAsia="zh-CN"/>
        </w:rPr>
        <w:t>1</w:t>
      </w:r>
      <w:r>
        <w:rPr>
          <w:rFonts w:hint="default" w:ascii="Times New Roman" w:hAnsi="Times New Roman" w:eastAsia="楷体" w:cs="Times New Roman"/>
          <w:sz w:val="28"/>
          <w:szCs w:val="28"/>
          <w:lang w:val="en-US" w:eastAsia="zh-CN"/>
        </w:rPr>
        <w:t>20</w:t>
      </w:r>
      <w:r>
        <w:rPr>
          <w:rFonts w:hint="default" w:ascii="Times New Roman" w:hAnsi="Times New Roman" w:eastAsia="楷体" w:cs="Times New Roman"/>
          <w:sz w:val="28"/>
          <w:szCs w:val="28"/>
        </w:rPr>
        <w:t>万元。占总投资</w:t>
      </w:r>
      <w:r>
        <w:rPr>
          <w:rFonts w:hint="default" w:ascii="Times New Roman" w:hAnsi="Times New Roman" w:eastAsia="楷体" w:cs="Times New Roman"/>
          <w:sz w:val="28"/>
          <w:szCs w:val="28"/>
          <w:lang w:val="en-US" w:eastAsia="zh-CN"/>
        </w:rPr>
        <w:t>34</w:t>
      </w:r>
      <w:r>
        <w:rPr>
          <w:rFonts w:hint="default" w:ascii="Times New Roman" w:hAnsi="Times New Roman" w:eastAsia="楷体" w:cs="Times New Roman"/>
          <w:sz w:val="28"/>
          <w:szCs w:val="28"/>
        </w:rPr>
        <w:t>％。</w:t>
      </w:r>
    </w:p>
    <w:p>
      <w:pPr>
        <w:tabs>
          <w:tab w:val="left" w:pos="360"/>
        </w:tabs>
        <w:spacing w:line="360" w:lineRule="auto"/>
        <w:ind w:left="298" w:leftChars="142" w:firstLine="560" w:firstLineChars="200"/>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rPr>
        <w:t>（四）验收范围</w:t>
      </w:r>
    </w:p>
    <w:p>
      <w:pPr>
        <w:tabs>
          <w:tab w:val="left" w:pos="360"/>
        </w:tabs>
        <w:spacing w:line="360" w:lineRule="auto"/>
        <w:ind w:left="298" w:leftChars="142" w:firstLine="560" w:firstLineChars="200"/>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rPr>
        <w:t>本次验收的范围为</w:t>
      </w:r>
      <w:r>
        <w:rPr>
          <w:rFonts w:hint="default" w:ascii="Times New Roman" w:hAnsi="Times New Roman" w:eastAsia="楷体" w:cs="Times New Roman"/>
          <w:sz w:val="28"/>
          <w:szCs w:val="28"/>
          <w:lang w:val="en-US" w:eastAsia="zh-CN"/>
        </w:rPr>
        <w:t>33吨塑料包装膜，15吨塑料包装袋</w:t>
      </w:r>
      <w:r>
        <w:rPr>
          <w:rFonts w:hint="default" w:ascii="Times New Roman" w:hAnsi="Times New Roman" w:eastAsia="楷体" w:cs="Times New Roman"/>
          <w:sz w:val="28"/>
          <w:szCs w:val="28"/>
          <w:lang w:val="en-US" w:eastAsia="zh-CN"/>
        </w:rPr>
        <w:t>生产设备</w:t>
      </w:r>
      <w:r>
        <w:rPr>
          <w:rFonts w:hint="default" w:ascii="Times New Roman" w:hAnsi="Times New Roman" w:eastAsia="楷体" w:cs="Times New Roman"/>
          <w:sz w:val="28"/>
          <w:szCs w:val="28"/>
        </w:rPr>
        <w:t>及其配套环保设施。</w:t>
      </w:r>
    </w:p>
    <w:p>
      <w:pPr>
        <w:tabs>
          <w:tab w:val="left" w:pos="360"/>
        </w:tabs>
        <w:spacing w:line="360" w:lineRule="auto"/>
        <w:ind w:left="298" w:leftChars="142" w:firstLine="560" w:firstLineChars="200"/>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rPr>
        <w:t>二、工程变更情况</w:t>
      </w:r>
    </w:p>
    <w:p>
      <w:pPr>
        <w:spacing w:line="360" w:lineRule="auto"/>
        <w:ind w:firstLine="840" w:firstLineChars="300"/>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rPr>
        <w:t>经现场验收核查，</w:t>
      </w:r>
      <w:r>
        <w:rPr>
          <w:rFonts w:hint="default" w:ascii="Times New Roman" w:hAnsi="Times New Roman" w:eastAsia="楷体" w:cs="Times New Roman"/>
          <w:sz w:val="28"/>
          <w:szCs w:val="28"/>
          <w:lang w:eastAsia="zh-CN"/>
        </w:rPr>
        <w:t>印刷机两台（环评五台）</w:t>
      </w:r>
      <w:r>
        <w:rPr>
          <w:rFonts w:hint="default" w:ascii="Times New Roman" w:hAnsi="Times New Roman" w:eastAsia="楷体" w:cs="Times New Roman"/>
          <w:sz w:val="28"/>
          <w:szCs w:val="28"/>
        </w:rPr>
        <w:t>，</w:t>
      </w:r>
      <w:r>
        <w:rPr>
          <w:rFonts w:hint="default" w:ascii="Times New Roman" w:hAnsi="Times New Roman" w:eastAsia="楷体" w:cs="Times New Roman"/>
          <w:sz w:val="28"/>
          <w:szCs w:val="28"/>
          <w:lang w:eastAsia="zh-CN"/>
        </w:rPr>
        <w:t>干式复合机两台（环评四台），现场没有无溶剂复合机（环评一台），高速分切机一台（环评四台），制袋机两台（环评八台），故</w:t>
      </w:r>
      <w:r>
        <w:rPr>
          <w:rFonts w:hint="default" w:ascii="Times New Roman" w:hAnsi="Times New Roman" w:eastAsia="楷体" w:cs="Times New Roman"/>
          <w:sz w:val="28"/>
          <w:szCs w:val="28"/>
          <w:lang w:val="en-US" w:eastAsia="zh-CN"/>
        </w:rPr>
        <w:t>按分期进行验收，不属于</w:t>
      </w:r>
      <w:r>
        <w:rPr>
          <w:rFonts w:hint="default" w:ascii="Times New Roman" w:hAnsi="Times New Roman" w:eastAsia="楷体" w:cs="Times New Roman"/>
          <w:sz w:val="28"/>
          <w:szCs w:val="28"/>
        </w:rPr>
        <w:t>重大变动。</w:t>
      </w:r>
    </w:p>
    <w:p>
      <w:pPr>
        <w:pStyle w:val="9"/>
        <w:numPr>
          <w:ilvl w:val="0"/>
          <w:numId w:val="0"/>
        </w:numPr>
        <w:spacing w:line="360" w:lineRule="auto"/>
        <w:ind w:firstLine="840" w:firstLineChars="300"/>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lang w:eastAsia="zh-CN"/>
        </w:rPr>
        <w:t>三、</w:t>
      </w:r>
      <w:r>
        <w:rPr>
          <w:rFonts w:hint="default" w:ascii="Times New Roman" w:hAnsi="Times New Roman" w:eastAsia="楷体" w:cs="Times New Roman"/>
          <w:sz w:val="28"/>
          <w:szCs w:val="28"/>
        </w:rPr>
        <w:t>环境保护设施落实情况</w:t>
      </w:r>
    </w:p>
    <w:p>
      <w:pPr>
        <w:pStyle w:val="9"/>
        <w:spacing w:beforeLines="50" w:line="360" w:lineRule="auto"/>
        <w:ind w:left="141" w:leftChars="67" w:firstLine="697" w:firstLineChars="249"/>
        <w:rPr>
          <w:rFonts w:hint="default" w:ascii="Times New Roman" w:hAnsi="Times New Roman" w:eastAsia="楷体" w:cs="Times New Roman"/>
          <w:sz w:val="28"/>
          <w:szCs w:val="28"/>
        </w:rPr>
      </w:pPr>
      <w:r>
        <w:rPr>
          <w:rFonts w:hint="default" w:ascii="Times New Roman" w:hAnsi="Times New Roman" w:eastAsia="楷体" w:cs="Times New Roman"/>
          <w:sz w:val="28"/>
          <w:szCs w:val="28"/>
        </w:rPr>
        <w:t>（一）废水污染源及其治理措施</w:t>
      </w:r>
    </w:p>
    <w:p>
      <w:pPr>
        <w:widowControl/>
        <w:spacing w:line="360" w:lineRule="auto"/>
        <w:ind w:left="141" w:leftChars="67" w:firstLine="677" w:firstLineChars="249"/>
        <w:jc w:val="left"/>
        <w:rPr>
          <w:rFonts w:hint="default" w:ascii="Times New Roman" w:hAnsi="Times New Roman" w:eastAsia="楷体" w:cs="Times New Roman"/>
          <w:kern w:val="2"/>
          <w:sz w:val="28"/>
          <w:szCs w:val="28"/>
          <w:lang w:val="en-US" w:eastAsia="zh-CN" w:bidi="ar-SA"/>
        </w:rPr>
      </w:pPr>
      <w:r>
        <w:rPr>
          <w:rFonts w:hint="default" w:ascii="Times New Roman" w:hAnsi="Times New Roman" w:eastAsia="楷体" w:cs="Times New Roman"/>
          <w:spacing w:val="-4"/>
          <w:sz w:val="28"/>
          <w:szCs w:val="28"/>
          <w:lang w:val="en-US" w:eastAsia="zh-CN"/>
        </w:rPr>
        <w:t>本项目生产工艺不用水，无生产废水产生；本项目废水主要为职工生活污水。本项目生活污水经化粪池收集后由环卫部门定期清运处理，无废水外排</w:t>
      </w:r>
      <w:r>
        <w:rPr>
          <w:rFonts w:hint="default" w:ascii="Times New Roman" w:hAnsi="Times New Roman" w:eastAsia="楷体" w:cs="Times New Roman"/>
          <w:kern w:val="2"/>
          <w:sz w:val="28"/>
          <w:szCs w:val="28"/>
          <w:lang w:val="en-US" w:eastAsia="zh-CN" w:bidi="ar-SA"/>
        </w:rPr>
        <w:t>。</w:t>
      </w:r>
    </w:p>
    <w:p>
      <w:pPr>
        <w:widowControl/>
        <w:spacing w:line="360" w:lineRule="auto"/>
        <w:ind w:left="141" w:leftChars="67" w:firstLine="697" w:firstLineChars="249"/>
        <w:jc w:val="left"/>
        <w:rPr>
          <w:rFonts w:hint="default" w:ascii="Times New Roman" w:hAnsi="Times New Roman" w:eastAsia="楷体" w:cs="Times New Roman"/>
          <w:kern w:val="2"/>
          <w:sz w:val="28"/>
          <w:szCs w:val="28"/>
          <w:lang w:val="en-US" w:eastAsia="zh-CN" w:bidi="ar-SA"/>
        </w:rPr>
      </w:pPr>
      <w:r>
        <w:rPr>
          <w:rFonts w:hint="default" w:ascii="Times New Roman" w:hAnsi="Times New Roman" w:eastAsia="楷体" w:cs="Times New Roman"/>
          <w:kern w:val="2"/>
          <w:sz w:val="28"/>
          <w:szCs w:val="28"/>
          <w:lang w:val="en-US" w:eastAsia="zh-CN" w:bidi="ar-SA"/>
        </w:rPr>
        <w:t>（二）废气污染源及其治理措施</w:t>
      </w:r>
    </w:p>
    <w:p>
      <w:p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本项目产生的废气分为塑料包装膜、塑料包装袋印刷过程产生的非甲烷总烃，复合和熟化过程排放的非甲烷总烃。印刷、复合、熟化过程的非甲烷总烃经UV光解净化设备处理后，共用1根15m高的排气筒排放。</w:t>
      </w:r>
    </w:p>
    <w:p>
      <w:p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（三）噪声</w:t>
      </w:r>
    </w:p>
    <w:p>
      <w:p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 xml:space="preserve">本项目噪声源主要为印刷机、熟化室排风扇等机械设备运转噪声，生产设备均设置在厂房内，通过车间隔声及距离衰减，且夜间不生产，通过以上降噪措施降低对外环境的影响。 </w:t>
      </w:r>
    </w:p>
    <w:p>
      <w:pPr>
        <w:spacing w:line="360" w:lineRule="auto"/>
        <w:ind w:left="141" w:leftChars="67" w:firstLine="697" w:firstLineChars="249"/>
        <w:jc w:val="left"/>
        <w:rPr>
          <w:rFonts w:hint="default" w:ascii="Times New Roman" w:hAnsi="Times New Roman" w:eastAsia="楷体" w:cs="Times New Roman"/>
          <w:sz w:val="28"/>
          <w:szCs w:val="28"/>
          <w:lang w:eastAsia="zh-CN"/>
        </w:rPr>
      </w:pPr>
      <w:r>
        <w:rPr>
          <w:rFonts w:hint="default" w:ascii="Times New Roman" w:hAnsi="Times New Roman" w:eastAsia="楷体" w:cs="Times New Roman"/>
          <w:sz w:val="28"/>
          <w:szCs w:val="28"/>
        </w:rPr>
        <w:t>（</w:t>
      </w:r>
      <w:r>
        <w:rPr>
          <w:rFonts w:hint="default" w:ascii="Times New Roman" w:hAnsi="Times New Roman" w:eastAsia="楷体" w:cs="Times New Roman"/>
          <w:sz w:val="28"/>
          <w:szCs w:val="28"/>
        </w:rPr>
        <w:t>四）固体废物</w:t>
      </w:r>
    </w:p>
    <w:p>
      <w:pPr>
        <w:pStyle w:val="2"/>
        <w:spacing w:line="360" w:lineRule="auto"/>
        <w:ind w:left="141" w:leftChars="67" w:firstLine="697" w:firstLineChars="249"/>
        <w:rPr>
          <w:rFonts w:hint="default" w:ascii="Times New Roman" w:hAnsi="Times New Roman" w:eastAsia="楷体" w:cs="Times New Roman"/>
          <w:snapToGrid w:val="0"/>
          <w:kern w:val="0"/>
          <w:sz w:val="28"/>
          <w:szCs w:val="28"/>
          <w:lang w:val="en-US" w:eastAsia="zh-CN" w:bidi="ar-SA"/>
        </w:rPr>
      </w:pPr>
      <w:r>
        <w:rPr>
          <w:rFonts w:hint="default" w:ascii="Times New Roman" w:hAnsi="Times New Roman" w:eastAsia="楷体" w:cs="Times New Roman"/>
          <w:snapToGrid w:val="0"/>
          <w:kern w:val="0"/>
          <w:sz w:val="28"/>
          <w:szCs w:val="28"/>
          <w:lang w:val="en-US" w:eastAsia="zh-CN" w:bidi="ar-SA"/>
        </w:rPr>
        <w:t>本项目固体废物主要包括废弃原料桶，废弃包装物，塑料薄膜下脚料，生活垃圾等。生产厂家在配送原料时同时收回废弃原料桶。塑料薄膜下脚料全部外售处理。产品包装过程中产生少量的包装废弃物主要为废纸箱等，外售综合利用。生活垃圾由当地环卫部门清运。生产过程中油墨空桶由原厂回收利用。擦拭油墨辊产生的废抹布，根据《国家危险废物名录》中危险废物豁免管理清单的要求，含油废抹布可混入生活垃圾处理即可。UV光解废灯管属于危险废物，废物类别为HW29含汞废物，废物代码900-023-29，经现场踏勘，废灯管目前尚未产生。一旦产生，须规范放置于危废暂存间，并与有资质单位签订有效的危废处理协议，保证得到妥善处置。</w:t>
      </w:r>
    </w:p>
    <w:p>
      <w:pPr>
        <w:pStyle w:val="9"/>
        <w:numPr>
          <w:ilvl w:val="0"/>
          <w:numId w:val="0"/>
        </w:num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bidi="ar-SA"/>
        </w:rPr>
      </w:pPr>
      <w:r>
        <w:rPr>
          <w:rFonts w:hint="default" w:ascii="Times New Roman" w:hAnsi="Times New Roman" w:eastAsia="楷体" w:cs="Times New Roman"/>
          <w:snapToGrid w:val="0"/>
          <w:kern w:val="0"/>
          <w:sz w:val="28"/>
          <w:szCs w:val="28"/>
          <w:lang w:val="en-US" w:eastAsia="zh-CN" w:bidi="ar-SA"/>
        </w:rPr>
        <w:t>四、验收监测结果</w:t>
      </w:r>
    </w:p>
    <w:p>
      <w:pPr>
        <w:spacing w:line="360" w:lineRule="auto"/>
        <w:ind w:left="141" w:leftChars="67" w:firstLine="697" w:firstLineChars="249"/>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rPr>
        <w:t>（一）环保设施运行检测结果</w:t>
      </w:r>
    </w:p>
    <w:p>
      <w:pPr>
        <w:widowControl/>
        <w:spacing w:line="360" w:lineRule="auto"/>
        <w:ind w:left="141" w:leftChars="67" w:firstLine="697" w:firstLineChars="249"/>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lang w:eastAsia="zh-CN"/>
        </w:rPr>
        <w:t>山东聊和环保科技有限公司</w:t>
      </w:r>
      <w:r>
        <w:rPr>
          <w:rFonts w:hint="default" w:ascii="Times New Roman" w:hAnsi="Times New Roman" w:eastAsia="楷体" w:cs="Times New Roman"/>
          <w:sz w:val="28"/>
          <w:szCs w:val="28"/>
        </w:rPr>
        <w:t>出具的</w:t>
      </w:r>
      <w:r>
        <w:rPr>
          <w:rFonts w:hint="default" w:ascii="Times New Roman" w:hAnsi="Times New Roman" w:eastAsia="楷体" w:cs="Times New Roman"/>
          <w:b w:val="0"/>
          <w:bCs w:val="0"/>
          <w:sz w:val="28"/>
          <w:szCs w:val="28"/>
        </w:rPr>
        <w:t>《</w:t>
      </w:r>
      <w:r>
        <w:rPr>
          <w:rFonts w:hint="default" w:ascii="Times New Roman" w:hAnsi="Times New Roman" w:eastAsia="楷体" w:cs="Times New Roman"/>
          <w:b w:val="0"/>
          <w:bCs w:val="0"/>
          <w:sz w:val="28"/>
          <w:szCs w:val="28"/>
          <w:lang w:val="en-US" w:eastAsia="zh-CN"/>
        </w:rPr>
        <w:t>聊城市未来彩印包装有限公司年产60吨塑料包装膜，60吨塑料包装袋改扩建项目（一期：年产33吨塑料包装膜，15吨塑料包装袋）</w:t>
      </w:r>
      <w:r>
        <w:rPr>
          <w:rFonts w:hint="default" w:ascii="Times New Roman" w:hAnsi="Times New Roman" w:eastAsia="楷体" w:cs="Times New Roman"/>
          <w:sz w:val="28"/>
          <w:szCs w:val="28"/>
        </w:rPr>
        <w:t>竣工环境保护验收监测报告》监测结果表明：</w:t>
      </w:r>
    </w:p>
    <w:p>
      <w:pPr>
        <w:numPr>
          <w:ilvl w:val="0"/>
          <w:numId w:val="1"/>
        </w:numPr>
        <w:spacing w:line="360" w:lineRule="auto"/>
        <w:ind w:left="141" w:leftChars="67" w:firstLine="697" w:firstLineChars="249"/>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lang w:eastAsia="zh-CN"/>
        </w:rPr>
        <w:t>废水</w:t>
      </w:r>
    </w:p>
    <w:p>
      <w:pPr>
        <w:ind w:left="141" w:leftChars="67" w:firstLine="697" w:firstLineChars="249"/>
        <w:rPr>
          <w:rFonts w:hint="default" w:ascii="Times New Roman" w:hAnsi="Times New Roman" w:eastAsia="楷体" w:cs="Times New Roman"/>
          <w:sz w:val="28"/>
          <w:szCs w:val="28"/>
          <w:lang w:val="en-US" w:eastAsia="zh-CN"/>
        </w:rPr>
      </w:pPr>
      <w:r>
        <w:rPr>
          <w:rFonts w:hint="default" w:ascii="Times New Roman" w:hAnsi="Times New Roman" w:eastAsia="楷体" w:cs="Times New Roman"/>
          <w:sz w:val="28"/>
          <w:szCs w:val="28"/>
          <w:lang w:val="en-US" w:eastAsia="zh-CN"/>
        </w:rPr>
        <w:t>该项目废水为生活污水，废水经化粪池收集后由环卫部门定期清运处理，无废水外排。</w:t>
      </w:r>
    </w:p>
    <w:p>
      <w:pPr>
        <w:numPr>
          <w:ilvl w:val="0"/>
          <w:numId w:val="2"/>
        </w:numPr>
        <w:spacing w:line="360" w:lineRule="auto"/>
        <w:ind w:left="141" w:leftChars="67" w:firstLine="697" w:firstLineChars="249"/>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rPr>
        <w:t>废气</w:t>
      </w:r>
    </w:p>
    <w:p>
      <w:pPr>
        <w:spacing w:line="360" w:lineRule="auto"/>
        <w:ind w:left="141" w:leftChars="67" w:firstLine="697" w:firstLineChars="249"/>
        <w:rPr>
          <w:rFonts w:hint="default" w:ascii="Times New Roman" w:hAnsi="Times New Roman" w:eastAsia="楷体" w:cs="Times New Roman"/>
          <w:color w:val="000000"/>
          <w:kern w:val="2"/>
          <w:sz w:val="28"/>
          <w:szCs w:val="28"/>
          <w:lang w:val="en-US" w:eastAsia="zh-CN" w:bidi="ar-SA"/>
        </w:rPr>
      </w:pPr>
      <w:r>
        <w:rPr>
          <w:rFonts w:hint="default" w:ascii="Times New Roman" w:hAnsi="Times New Roman" w:eastAsia="楷体" w:cs="Times New Roman"/>
          <w:sz w:val="28"/>
          <w:szCs w:val="28"/>
          <w:lang w:val="en-US" w:eastAsia="zh-CN"/>
        </w:rPr>
        <w:t>验收监测期间，有组织非甲烷总烃小时浓度最高为0.46mg/m3，排放速率最高为0.015kg/h；无组织非甲烷总烃小时浓度最高为0.30mg/m3，满足《大气污染物综合排放标准》（GB16297-1996）表2中非甲烷总烃二级标准及无组织排放监控浓度限值。</w:t>
      </w:r>
    </w:p>
    <w:p>
      <w:pPr>
        <w:spacing w:line="360" w:lineRule="auto"/>
        <w:ind w:left="141" w:leftChars="67" w:firstLine="697" w:firstLineChars="249"/>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lang w:val="en-US" w:eastAsia="zh-CN"/>
        </w:rPr>
        <w:t>3</w:t>
      </w:r>
      <w:r>
        <w:rPr>
          <w:rFonts w:hint="default" w:ascii="Times New Roman" w:hAnsi="Times New Roman" w:eastAsia="楷体" w:cs="Times New Roman"/>
          <w:sz w:val="28"/>
          <w:szCs w:val="28"/>
        </w:rPr>
        <w:t>. 噪声</w:t>
      </w:r>
    </w:p>
    <w:p>
      <w:pPr>
        <w:spacing w:beforeLines="50" w:line="360" w:lineRule="auto"/>
        <w:ind w:left="141" w:leftChars="67" w:firstLine="697" w:firstLineChars="249"/>
        <w:rPr>
          <w:rFonts w:hint="default" w:ascii="Times New Roman" w:hAnsi="Times New Roman" w:eastAsia="楷体" w:cs="Times New Roman"/>
          <w:sz w:val="28"/>
          <w:szCs w:val="28"/>
        </w:rPr>
      </w:pPr>
      <w:r>
        <w:rPr>
          <w:rFonts w:hint="default" w:ascii="Times New Roman" w:hAnsi="Times New Roman" w:eastAsia="楷体" w:cs="Times New Roman"/>
          <w:sz w:val="28"/>
          <w:szCs w:val="28"/>
        </w:rPr>
        <w:t xml:space="preserve"> 验收监测期间，监测点位昼间噪声在</w:t>
      </w:r>
      <w:r>
        <w:rPr>
          <w:rFonts w:hint="default" w:ascii="Times New Roman" w:hAnsi="Times New Roman" w:eastAsia="楷体" w:cs="Times New Roman"/>
          <w:sz w:val="28"/>
          <w:szCs w:val="28"/>
          <w:lang w:val="en-US" w:eastAsia="zh-CN"/>
        </w:rPr>
        <w:t>56.6</w:t>
      </w:r>
      <w:r>
        <w:rPr>
          <w:rFonts w:hint="default" w:ascii="Times New Roman" w:hAnsi="Times New Roman" w:eastAsia="楷体" w:cs="Times New Roman"/>
          <w:sz w:val="28"/>
          <w:szCs w:val="28"/>
        </w:rPr>
        <w:t>dB(A)-</w:t>
      </w:r>
      <w:r>
        <w:rPr>
          <w:rFonts w:hint="default" w:ascii="Times New Roman" w:hAnsi="Times New Roman" w:eastAsia="楷体" w:cs="Times New Roman"/>
          <w:sz w:val="28"/>
          <w:szCs w:val="28"/>
          <w:lang w:val="en-US" w:eastAsia="zh-CN"/>
        </w:rPr>
        <w:t>58.2</w:t>
      </w:r>
      <w:r>
        <w:rPr>
          <w:rFonts w:hint="default" w:ascii="Times New Roman" w:hAnsi="Times New Roman" w:eastAsia="楷体" w:cs="Times New Roman"/>
          <w:sz w:val="28"/>
          <w:szCs w:val="28"/>
        </w:rPr>
        <w:t>dB(A)之间</w:t>
      </w:r>
      <w:r>
        <w:rPr>
          <w:rFonts w:hint="default" w:ascii="Times New Roman" w:hAnsi="Times New Roman" w:eastAsia="楷体" w:cs="Times New Roman"/>
          <w:sz w:val="28"/>
          <w:szCs w:val="28"/>
          <w:lang w:eastAsia="zh-CN"/>
        </w:rPr>
        <w:t>，符合《工业企业厂界环境噪声排放标准》（GB12348</w:t>
      </w:r>
      <w:r>
        <w:rPr>
          <w:rFonts w:hint="default" w:ascii="Times New Roman" w:hAnsi="Times New Roman" w:eastAsia="楷体" w:cs="Times New Roman"/>
          <w:sz w:val="28"/>
          <w:szCs w:val="28"/>
          <w:lang w:val="en-US" w:eastAsia="zh-CN"/>
        </w:rPr>
        <w:t>-</w:t>
      </w:r>
      <w:r>
        <w:rPr>
          <w:rFonts w:hint="default" w:ascii="Times New Roman" w:hAnsi="Times New Roman" w:eastAsia="楷体" w:cs="Times New Roman"/>
          <w:sz w:val="28"/>
          <w:szCs w:val="28"/>
          <w:lang w:eastAsia="zh-CN"/>
        </w:rPr>
        <w:t>2008）中的</w:t>
      </w:r>
      <w:r>
        <w:rPr>
          <w:rFonts w:hint="default" w:ascii="Times New Roman" w:hAnsi="Times New Roman" w:eastAsia="楷体" w:cs="Times New Roman"/>
          <w:sz w:val="28"/>
          <w:szCs w:val="28"/>
          <w:lang w:val="en-US" w:eastAsia="zh-CN"/>
        </w:rPr>
        <w:t>2</w:t>
      </w:r>
      <w:r>
        <w:rPr>
          <w:rFonts w:hint="default" w:ascii="Times New Roman" w:hAnsi="Times New Roman" w:eastAsia="楷体" w:cs="Times New Roman"/>
          <w:sz w:val="28"/>
          <w:szCs w:val="28"/>
          <w:lang w:eastAsia="zh-CN"/>
        </w:rPr>
        <w:t>类标准限值。</w:t>
      </w:r>
    </w:p>
    <w:p>
      <w:pPr>
        <w:numPr>
          <w:ilvl w:val="0"/>
          <w:numId w:val="3"/>
        </w:numPr>
        <w:spacing w:line="360" w:lineRule="auto"/>
        <w:ind w:left="141" w:leftChars="67" w:firstLine="697" w:firstLineChars="249"/>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固体废物</w:t>
      </w:r>
    </w:p>
    <w:p>
      <w:pPr>
        <w:spacing w:beforeLines="50" w:line="360" w:lineRule="auto"/>
        <w:ind w:left="141" w:leftChars="67" w:firstLine="697" w:firstLineChars="249"/>
        <w:rPr>
          <w:rFonts w:hint="default" w:ascii="Times New Roman" w:hAnsi="Times New Roman" w:eastAsia="楷体" w:cs="Times New Roman"/>
          <w:sz w:val="28"/>
          <w:szCs w:val="28"/>
        </w:rPr>
      </w:pPr>
      <w:r>
        <w:rPr>
          <w:rFonts w:hint="default" w:ascii="Times New Roman" w:hAnsi="Times New Roman" w:eastAsia="楷体" w:cs="Times New Roman"/>
          <w:sz w:val="28"/>
          <w:szCs w:val="28"/>
          <w:lang w:val="en-US" w:eastAsia="zh-CN"/>
        </w:rPr>
        <w:t>本项目固体废物主要包括废弃原料桶，废弃包装物，塑料薄膜下脚料，生活垃圾等。生产厂家在配送原料时同时收回废弃原料桶。塑料薄膜下脚料全部外售处理。产品包装过程中产生少量的包装废弃物主要为废纸箱等，外售综合利用。生活垃圾由当地环卫部门清运。生产过程中油墨空桶由原厂回收利用。擦拭油墨辊产生的废抹布，根据《国家危险废物名录》中危险废物豁免管理清单的要求，含油废抹布可混入生活垃圾处理即可。UV光解废灯管属于危险废物，废物类别为HW29含汞废物，废物代码900-023-29，经现场踏勘，废灯管目前尚未产生。一旦产生，须规范放置于危废暂存间，并与有资质单位签订有效的危废处理协议，保证得到妥善处置</w:t>
      </w:r>
      <w:r>
        <w:rPr>
          <w:rFonts w:hint="default" w:ascii="Times New Roman" w:hAnsi="Times New Roman" w:eastAsia="楷体" w:cs="Times New Roman"/>
          <w:sz w:val="28"/>
          <w:szCs w:val="28"/>
        </w:rPr>
        <w:t>。</w:t>
      </w:r>
    </w:p>
    <w:p>
      <w:pPr>
        <w:spacing w:beforeLines="50" w:line="360" w:lineRule="auto"/>
        <w:ind w:left="141" w:leftChars="67" w:firstLine="697" w:firstLineChars="249"/>
        <w:rPr>
          <w:rFonts w:hint="default" w:ascii="Times New Roman" w:hAnsi="Times New Roman" w:eastAsia="楷体" w:cs="Times New Roman"/>
          <w:color w:val="000000"/>
          <w:sz w:val="28"/>
          <w:szCs w:val="28"/>
        </w:rPr>
      </w:pPr>
      <w:r>
        <w:rPr>
          <w:rFonts w:hint="default" w:ascii="Times New Roman" w:hAnsi="Times New Roman" w:eastAsia="楷体" w:cs="Times New Roman"/>
          <w:color w:val="000000"/>
          <w:sz w:val="28"/>
          <w:szCs w:val="28"/>
        </w:rPr>
        <w:t>（二）环境管理调查</w:t>
      </w:r>
    </w:p>
    <w:p>
      <w:pPr>
        <w:spacing w:line="360" w:lineRule="auto"/>
        <w:ind w:left="141" w:leftChars="67" w:firstLine="697" w:firstLineChars="249"/>
        <w:rPr>
          <w:rFonts w:hint="default" w:ascii="Times New Roman" w:hAnsi="Times New Roman" w:eastAsia="楷体" w:cs="Times New Roman"/>
          <w:color w:val="000000"/>
          <w:sz w:val="28"/>
          <w:szCs w:val="28"/>
        </w:rPr>
      </w:pPr>
      <w:r>
        <w:rPr>
          <w:rFonts w:hint="default" w:ascii="Times New Roman" w:hAnsi="Times New Roman" w:eastAsia="楷体" w:cs="Times New Roman"/>
          <w:sz w:val="28"/>
          <w:szCs w:val="28"/>
          <w:lang w:eastAsia="zh-CN"/>
        </w:rPr>
        <w:t>聊城市未来彩印包装有限公司</w:t>
      </w:r>
      <w:r>
        <w:rPr>
          <w:rFonts w:hint="default" w:ascii="Times New Roman" w:hAnsi="Times New Roman" w:eastAsia="楷体" w:cs="Times New Roman"/>
          <w:color w:val="000000"/>
          <w:sz w:val="28"/>
          <w:szCs w:val="28"/>
        </w:rPr>
        <w:t>制定了《</w:t>
      </w:r>
      <w:r>
        <w:rPr>
          <w:rFonts w:hint="default" w:ascii="Times New Roman" w:hAnsi="Times New Roman" w:eastAsia="楷体" w:cs="Times New Roman"/>
          <w:sz w:val="28"/>
          <w:szCs w:val="28"/>
          <w:lang w:eastAsia="zh-CN"/>
        </w:rPr>
        <w:t>聊城市未来彩印包装有限公司</w:t>
      </w:r>
      <w:r>
        <w:rPr>
          <w:rFonts w:hint="default" w:ascii="Times New Roman" w:hAnsi="Times New Roman" w:eastAsia="楷体" w:cs="Times New Roman"/>
          <w:color w:val="000000"/>
          <w:sz w:val="28"/>
          <w:szCs w:val="28"/>
        </w:rPr>
        <w:t>环保管理制度》</w:t>
      </w:r>
      <w:r>
        <w:rPr>
          <w:rFonts w:hint="default" w:ascii="Times New Roman" w:hAnsi="Times New Roman" w:eastAsia="楷体" w:cs="Times New Roman"/>
          <w:color w:val="000000"/>
          <w:sz w:val="28"/>
          <w:szCs w:val="28"/>
          <w:lang w:eastAsia="zh-CN"/>
        </w:rPr>
        <w:t>，</w:t>
      </w:r>
      <w:r>
        <w:rPr>
          <w:rFonts w:hint="default" w:ascii="Times New Roman" w:hAnsi="Times New Roman" w:eastAsia="楷体" w:cs="Times New Roman"/>
          <w:color w:val="000000"/>
          <w:sz w:val="28"/>
          <w:szCs w:val="28"/>
        </w:rPr>
        <w:t>并设立了相关机构。日常工作由工程部门归口管理，其主要职责是：行使公司环保工作的计划、组织、指挥、协调、检查和考核管理职能，日常一切工作须对公司负责，并由职工代表大会予以监督。</w:t>
      </w:r>
    </w:p>
    <w:p>
      <w:pPr>
        <w:spacing w:line="360" w:lineRule="auto"/>
        <w:ind w:left="141" w:leftChars="67" w:firstLine="697" w:firstLineChars="249"/>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rPr>
        <w:t>五、专家意见：</w:t>
      </w:r>
    </w:p>
    <w:p>
      <w:pPr>
        <w:spacing w:line="360" w:lineRule="auto"/>
        <w:ind w:left="141" w:leftChars="67" w:firstLine="697" w:firstLineChars="249"/>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rPr>
        <w:t>在今后企业环保工作中，建议企业落实以下要求。</w:t>
      </w:r>
    </w:p>
    <w:p>
      <w:pPr>
        <w:pStyle w:val="5"/>
        <w:numPr>
          <w:ilvl w:val="0"/>
          <w:numId w:val="4"/>
        </w:numPr>
        <w:ind w:left="141" w:leftChars="67" w:firstLine="697" w:firstLineChars="249"/>
        <w:rPr>
          <w:rFonts w:hint="default" w:ascii="Times New Roman" w:hAnsi="Times New Roman" w:eastAsia="楷体" w:cs="Times New Roman"/>
          <w:sz w:val="28"/>
          <w:szCs w:val="28"/>
          <w:lang w:val="en-US" w:eastAsia="zh-CN"/>
        </w:rPr>
      </w:pPr>
      <w:r>
        <w:rPr>
          <w:rFonts w:hint="default" w:ascii="Times New Roman" w:hAnsi="Times New Roman" w:eastAsia="楷体" w:cs="Times New Roman"/>
          <w:sz w:val="28"/>
          <w:szCs w:val="28"/>
          <w:lang w:val="en-US" w:eastAsia="zh-CN"/>
        </w:rPr>
        <w:t>规范危废间标识牌；</w:t>
      </w:r>
    </w:p>
    <w:p>
      <w:pPr>
        <w:pStyle w:val="5"/>
        <w:numPr>
          <w:ilvl w:val="0"/>
          <w:numId w:val="4"/>
        </w:numPr>
        <w:ind w:left="141" w:leftChars="67" w:firstLine="697" w:firstLineChars="249"/>
        <w:rPr>
          <w:rFonts w:hint="default" w:ascii="Times New Roman" w:hAnsi="Times New Roman" w:eastAsia="楷体" w:cs="Times New Roman"/>
          <w:sz w:val="28"/>
          <w:szCs w:val="28"/>
          <w:lang w:val="en-US" w:eastAsia="zh-CN"/>
        </w:rPr>
      </w:pPr>
      <w:r>
        <w:rPr>
          <w:rFonts w:hint="default" w:ascii="Times New Roman" w:hAnsi="Times New Roman" w:eastAsia="楷体" w:cs="Times New Roman"/>
          <w:sz w:val="28"/>
          <w:szCs w:val="28"/>
          <w:lang w:val="en-US" w:eastAsia="zh-CN"/>
        </w:rPr>
        <w:t>规范采样爬梯和平台</w:t>
      </w:r>
      <w:r>
        <w:rPr>
          <w:rFonts w:hint="default" w:ascii="Times New Roman" w:hAnsi="Times New Roman" w:eastAsia="楷体" w:cs="Times New Roman"/>
          <w:sz w:val="28"/>
          <w:szCs w:val="28"/>
          <w:lang w:val="en-US" w:eastAsia="zh-CN"/>
        </w:rPr>
        <w:t>。</w:t>
      </w:r>
    </w:p>
    <w:p>
      <w:pPr>
        <w:spacing w:line="360" w:lineRule="auto"/>
        <w:ind w:firstLine="420" w:firstLineChars="150"/>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lang w:eastAsia="zh-CN"/>
        </w:rPr>
        <w:t>六</w:t>
      </w:r>
      <w:r>
        <w:rPr>
          <w:rFonts w:hint="default" w:ascii="Times New Roman" w:hAnsi="Times New Roman" w:eastAsia="楷体" w:cs="Times New Roman"/>
          <w:sz w:val="28"/>
          <w:szCs w:val="28"/>
        </w:rPr>
        <w:t>、验收结论</w:t>
      </w:r>
    </w:p>
    <w:p>
      <w:pPr>
        <w:spacing w:line="360" w:lineRule="auto"/>
        <w:ind w:firstLine="555"/>
        <w:rPr>
          <w:rFonts w:hint="default" w:ascii="Times New Roman" w:hAnsi="Times New Roman" w:eastAsia="楷体" w:cs="Times New Roman"/>
          <w:sz w:val="28"/>
          <w:szCs w:val="28"/>
        </w:rPr>
      </w:pPr>
      <w:r>
        <w:rPr>
          <w:rFonts w:hint="default" w:ascii="Times New Roman" w:hAnsi="Times New Roman" w:eastAsia="楷体" w:cs="Times New Roman"/>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hint="default" w:ascii="Times New Roman" w:hAnsi="Times New Roman" w:eastAsia="楷体" w:cs="Times New Roman"/>
          <w:sz w:val="28"/>
          <w:szCs w:val="28"/>
        </w:rPr>
      </w:pPr>
      <w:r>
        <w:rPr>
          <w:rFonts w:hint="default" w:ascii="Times New Roman" w:hAnsi="Times New Roman" w:eastAsia="楷体" w:cs="Times New Roman"/>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hint="default" w:ascii="Times New Roman" w:hAnsi="Times New Roman" w:eastAsia="楷体" w:cs="Times New Roman"/>
          <w:sz w:val="28"/>
          <w:szCs w:val="28"/>
        </w:rPr>
      </w:pPr>
      <w:r>
        <w:rPr>
          <w:rFonts w:hint="default" w:ascii="Times New Roman" w:hAnsi="Times New Roman" w:eastAsia="楷体" w:cs="Times New Roman"/>
          <w:sz w:val="28"/>
          <w:szCs w:val="28"/>
        </w:rPr>
        <w:t xml:space="preserve">                          </w:t>
      </w:r>
      <w:r>
        <w:rPr>
          <w:rFonts w:hint="default" w:ascii="Times New Roman" w:hAnsi="Times New Roman" w:eastAsia="楷体" w:cs="Times New Roman"/>
          <w:sz w:val="28"/>
          <w:szCs w:val="28"/>
          <w:lang w:eastAsia="zh-CN"/>
        </w:rPr>
        <w:t>聊城市未来彩印包装有限公司</w:t>
      </w:r>
      <w:r>
        <w:rPr>
          <w:rFonts w:hint="default" w:ascii="Times New Roman" w:hAnsi="Times New Roman" w:eastAsia="楷体" w:cs="Times New Roman"/>
          <w:sz w:val="28"/>
          <w:szCs w:val="28"/>
        </w:rPr>
        <w:t>验收组</w:t>
      </w:r>
    </w:p>
    <w:p>
      <w:pPr>
        <w:spacing w:line="360" w:lineRule="auto"/>
        <w:jc w:val="right"/>
        <w:rPr>
          <w:rFonts w:hint="default" w:ascii="Times New Roman" w:hAnsi="Times New Roman" w:eastAsia="楷体" w:cs="Times New Roman"/>
          <w:sz w:val="28"/>
          <w:szCs w:val="28"/>
          <w:lang w:eastAsia="zh-CN"/>
        </w:rPr>
      </w:pPr>
      <w:r>
        <w:rPr>
          <w:rFonts w:hint="default" w:ascii="Times New Roman" w:hAnsi="Times New Roman" w:eastAsia="楷体" w:cs="Times New Roman"/>
          <w:sz w:val="28"/>
          <w:szCs w:val="28"/>
        </w:rPr>
        <w:t xml:space="preserve">                            </w:t>
      </w:r>
      <w:r>
        <w:rPr>
          <w:rFonts w:hint="default" w:ascii="Times New Roman" w:hAnsi="Times New Roman" w:eastAsia="楷体" w:cs="Times New Roman"/>
          <w:sz w:val="28"/>
          <w:szCs w:val="28"/>
          <w:highlight w:val="none"/>
        </w:rPr>
        <w:t xml:space="preserve">    2018年</w:t>
      </w:r>
      <w:r>
        <w:rPr>
          <w:rFonts w:hint="default" w:ascii="Times New Roman" w:hAnsi="Times New Roman" w:eastAsia="楷体" w:cs="Times New Roman"/>
          <w:sz w:val="28"/>
          <w:szCs w:val="28"/>
          <w:highlight w:val="none"/>
          <w:lang w:val="en-US" w:eastAsia="zh-CN"/>
        </w:rPr>
        <w:t>10</w:t>
      </w:r>
      <w:r>
        <w:rPr>
          <w:rFonts w:hint="default" w:ascii="Times New Roman" w:hAnsi="Times New Roman" w:eastAsia="楷体" w:cs="Times New Roman"/>
          <w:sz w:val="28"/>
          <w:szCs w:val="28"/>
          <w:highlight w:val="none"/>
        </w:rPr>
        <w:t>月</w:t>
      </w:r>
      <w:r>
        <w:rPr>
          <w:rFonts w:hint="eastAsia" w:ascii="Times New Roman" w:hAnsi="Times New Roman" w:eastAsia="楷体" w:cs="Times New Roman"/>
          <w:sz w:val="28"/>
          <w:szCs w:val="28"/>
          <w:highlight w:val="none"/>
          <w:lang w:val="en-US" w:eastAsia="zh-CN"/>
        </w:rPr>
        <w:t>8</w:t>
      </w:r>
      <w:bookmarkStart w:id="0" w:name="_GoBack"/>
      <w:bookmarkEnd w:id="0"/>
      <w:r>
        <w:rPr>
          <w:rFonts w:hint="default" w:ascii="Times New Roman" w:hAnsi="Times New Roman" w:eastAsia="楷体" w:cs="Times New Roman"/>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新宋体">
    <w:panose1 w:val="02010609030101010101"/>
    <w:charset w:val="86"/>
    <w:family w:val="auto"/>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C81383"/>
    <w:rsid w:val="07A55512"/>
    <w:rsid w:val="0A3A33C4"/>
    <w:rsid w:val="0BB105F9"/>
    <w:rsid w:val="0BCD78E3"/>
    <w:rsid w:val="0BD4352F"/>
    <w:rsid w:val="0EEE1458"/>
    <w:rsid w:val="0FF7137B"/>
    <w:rsid w:val="13242E95"/>
    <w:rsid w:val="18100048"/>
    <w:rsid w:val="18D05E89"/>
    <w:rsid w:val="19BD6A9B"/>
    <w:rsid w:val="1AAF6CA7"/>
    <w:rsid w:val="27420539"/>
    <w:rsid w:val="2BFB35B9"/>
    <w:rsid w:val="31572BC2"/>
    <w:rsid w:val="33AC4057"/>
    <w:rsid w:val="3608178F"/>
    <w:rsid w:val="37C4153C"/>
    <w:rsid w:val="3B2962D5"/>
    <w:rsid w:val="3FDD2C6F"/>
    <w:rsid w:val="42D02360"/>
    <w:rsid w:val="440B2C50"/>
    <w:rsid w:val="45B12AB5"/>
    <w:rsid w:val="4CAE592A"/>
    <w:rsid w:val="52082039"/>
    <w:rsid w:val="5AD75B85"/>
    <w:rsid w:val="5BC66C55"/>
    <w:rsid w:val="5F0C4CFF"/>
    <w:rsid w:val="614D2684"/>
    <w:rsid w:val="65826A80"/>
    <w:rsid w:val="66FB5067"/>
    <w:rsid w:val="6A4209DB"/>
    <w:rsid w:val="6ABA50EB"/>
    <w:rsid w:val="6DEB0CC4"/>
    <w:rsid w:val="779305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Stolee</cp:lastModifiedBy>
  <dcterms:modified xsi:type="dcterms:W3CDTF">2018-10-06T08:34:06Z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