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 w:cs="Times New Roman"/>
          <w:b/>
          <w:color w:val="auto"/>
          <w:sz w:val="28"/>
          <w:szCs w:val="28"/>
          <w:lang w:val="en-US" w:eastAsia="zh-CN"/>
        </w:rPr>
      </w:pPr>
      <w:r>
        <w:rPr>
          <w:rFonts w:hint="eastAsia" w:eastAsia="楷体" w:cs="Times New Roman"/>
          <w:b/>
          <w:color w:val="auto"/>
          <w:sz w:val="28"/>
          <w:szCs w:val="28"/>
          <w:lang w:val="en-US" w:eastAsia="zh-CN"/>
        </w:rPr>
        <w:t>东阿县江宇建筑安装有限公司彩板、C型钢及碳钢加工焊接件生产项目</w:t>
      </w:r>
      <w:r>
        <w:rPr>
          <w:rFonts w:hint="default" w:ascii="Times New Roman" w:hAnsi="Times New Roman" w:eastAsia="楷体" w:cs="Times New Roman"/>
          <w:b/>
          <w:color w:val="auto"/>
          <w:sz w:val="28"/>
          <w:szCs w:val="28"/>
          <w:lang w:val="en-US" w:eastAsia="zh-CN"/>
        </w:rPr>
        <w:t>竣工</w:t>
      </w:r>
    </w:p>
    <w:p>
      <w:pPr>
        <w:tabs>
          <w:tab w:val="left" w:pos="360"/>
        </w:tabs>
        <w:spacing w:line="360" w:lineRule="auto"/>
        <w:ind w:left="298" w:leftChars="142"/>
        <w:jc w:val="center"/>
        <w:rPr>
          <w:rFonts w:hint="default" w:ascii="Times New Roman" w:hAnsi="Times New Roman" w:eastAsia="楷体" w:cs="Times New Roman"/>
          <w:b/>
          <w:color w:val="auto"/>
          <w:sz w:val="30"/>
          <w:szCs w:val="30"/>
        </w:rPr>
      </w:pPr>
      <w:r>
        <w:rPr>
          <w:rFonts w:hint="default" w:ascii="Times New Roman" w:hAnsi="Times New Roman" w:eastAsia="楷体"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2018年</w:t>
      </w:r>
      <w:r>
        <w:rPr>
          <w:rFonts w:hint="eastAsia"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default" w:ascii="Times New Roman" w:hAnsi="Times New Roman" w:eastAsia="楷体" w:cs="Times New Roman"/>
          <w:color w:val="auto"/>
          <w:sz w:val="28"/>
          <w:szCs w:val="28"/>
          <w:highlight w:val="none"/>
          <w:lang w:val="en-US" w:eastAsia="zh-CN"/>
        </w:rPr>
        <w:t>1</w:t>
      </w:r>
      <w:r>
        <w:rPr>
          <w:rFonts w:hint="eastAsia" w:eastAsia="楷体" w:cs="Times New Roman"/>
          <w:color w:val="auto"/>
          <w:sz w:val="28"/>
          <w:szCs w:val="28"/>
          <w:highlight w:val="none"/>
          <w:lang w:val="en-US" w:eastAsia="zh-CN"/>
        </w:rPr>
        <w:t>8</w:t>
      </w:r>
      <w:r>
        <w:rPr>
          <w:rFonts w:hint="default" w:ascii="Times New Roman" w:hAnsi="Times New Roman" w:eastAsia="楷体" w:cs="Times New Roman"/>
          <w:color w:val="auto"/>
          <w:sz w:val="28"/>
          <w:szCs w:val="28"/>
          <w:highlight w:val="none"/>
        </w:rPr>
        <w:t>日</w:t>
      </w:r>
      <w:r>
        <w:rPr>
          <w:rFonts w:hint="default" w:ascii="Times New Roman" w:hAnsi="Times New Roman" w:eastAsia="楷体" w:cs="Times New Roman"/>
          <w:color w:val="auto"/>
          <w:sz w:val="28"/>
          <w:szCs w:val="28"/>
        </w:rPr>
        <w:t>，</w:t>
      </w:r>
      <w:r>
        <w:rPr>
          <w:rFonts w:hint="eastAsia" w:eastAsia="楷体" w:cs="Times New Roman"/>
          <w:color w:val="auto"/>
          <w:sz w:val="28"/>
          <w:szCs w:val="28"/>
          <w:lang w:val="en-US" w:eastAsia="zh-CN"/>
        </w:rPr>
        <w:t>东阿县江宇建筑安装有限公司</w:t>
      </w:r>
      <w:r>
        <w:rPr>
          <w:rFonts w:hint="default" w:ascii="Times New Roman" w:hAnsi="Times New Roman" w:eastAsia="楷体" w:cs="Times New Roman"/>
          <w:color w:val="auto"/>
          <w:sz w:val="28"/>
          <w:szCs w:val="28"/>
          <w:highlight w:val="none"/>
        </w:rPr>
        <w:t>组织召开</w:t>
      </w:r>
      <w:r>
        <w:rPr>
          <w:rFonts w:hint="eastAsia" w:eastAsia="楷体" w:cs="Times New Roman"/>
          <w:color w:val="auto"/>
          <w:sz w:val="28"/>
          <w:szCs w:val="28"/>
          <w:highlight w:val="none"/>
          <w:lang w:val="en-US" w:eastAsia="zh-CN"/>
        </w:rPr>
        <w:t>彩板、C型钢及碳钢加工焊接件生产项目</w:t>
      </w:r>
      <w:r>
        <w:rPr>
          <w:rFonts w:hint="default" w:ascii="Times New Roman" w:hAnsi="Times New Roman" w:eastAsia="楷体" w:cs="Times New Roman"/>
          <w:color w:val="auto"/>
          <w:sz w:val="28"/>
          <w:szCs w:val="28"/>
          <w:highlight w:val="none"/>
        </w:rPr>
        <w:t>竣</w:t>
      </w:r>
      <w:r>
        <w:rPr>
          <w:rFonts w:hint="default" w:ascii="Times New Roman" w:hAnsi="Times New Roman" w:eastAsia="楷体" w:cs="Times New Roman"/>
          <w:color w:val="auto"/>
          <w:sz w:val="28"/>
          <w:szCs w:val="28"/>
        </w:rPr>
        <w:t>工环境保护验收现场检查及验收及验收会。验收工作组由工程建设单位（</w:t>
      </w:r>
      <w:r>
        <w:rPr>
          <w:rFonts w:hint="eastAsia" w:eastAsia="楷体" w:cs="Times New Roman"/>
          <w:color w:val="auto"/>
          <w:sz w:val="28"/>
          <w:szCs w:val="28"/>
          <w:lang w:val="en-US" w:eastAsia="zh-CN"/>
        </w:rPr>
        <w:t>东阿县江宇建筑安装有限公司</w:t>
      </w:r>
      <w:r>
        <w:rPr>
          <w:rFonts w:hint="default" w:ascii="Times New Roman" w:hAnsi="Times New Roman" w:eastAsia="楷体" w:cs="Times New Roman"/>
          <w:color w:val="auto"/>
          <w:sz w:val="28"/>
          <w:szCs w:val="28"/>
        </w:rPr>
        <w:t>）、环评单位（</w:t>
      </w:r>
      <w:r>
        <w:rPr>
          <w:rFonts w:hint="eastAsia" w:eastAsia="楷体" w:cs="Times New Roman"/>
          <w:color w:val="auto"/>
          <w:sz w:val="28"/>
          <w:szCs w:val="28"/>
          <w:lang w:val="en-US" w:eastAsia="zh-CN"/>
        </w:rPr>
        <w:t>青岛洁瑞环保技术服务有限公司</w:t>
      </w:r>
      <w:r>
        <w:rPr>
          <w:rFonts w:hint="default" w:ascii="Times New Roman" w:hAnsi="Times New Roman" w:eastAsia="楷体" w:cs="Times New Roman"/>
          <w:color w:val="auto"/>
          <w:sz w:val="28"/>
          <w:szCs w:val="28"/>
        </w:rPr>
        <w:t>）、监测单位（</w:t>
      </w: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）并特邀</w:t>
      </w:r>
      <w:r>
        <w:rPr>
          <w:rFonts w:hint="default" w:ascii="Times New Roman" w:hAnsi="Times New Roman" w:eastAsia="楷体" w:cs="Times New Roman"/>
          <w:color w:val="auto"/>
          <w:sz w:val="28"/>
          <w:szCs w:val="28"/>
          <w:lang w:val="en-US" w:eastAsia="zh-CN"/>
        </w:rPr>
        <w:t>2</w:t>
      </w:r>
      <w:r>
        <w:rPr>
          <w:rFonts w:hint="default" w:ascii="Times New Roman" w:hAnsi="Times New Roman" w:eastAsia="楷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项目建设地点</w:t>
      </w:r>
      <w:r>
        <w:rPr>
          <w:rFonts w:hint="default" w:ascii="Times New Roman" w:hAnsi="Times New Roman" w:eastAsia="楷体" w:cs="Times New Roman"/>
          <w:color w:val="auto"/>
          <w:sz w:val="28"/>
          <w:szCs w:val="28"/>
          <w:lang w:eastAsia="zh-CN"/>
        </w:rPr>
        <w:t>位于</w:t>
      </w:r>
      <w:r>
        <w:rPr>
          <w:rFonts w:hint="eastAsia" w:eastAsia="楷体" w:cs="Times New Roman"/>
          <w:color w:val="auto"/>
          <w:sz w:val="28"/>
          <w:szCs w:val="28"/>
          <w:lang w:eastAsia="zh-CN"/>
        </w:rPr>
        <w:t>东阿县大桥镇原尹庄村北约238米处路西。</w:t>
      </w:r>
      <w:r>
        <w:rPr>
          <w:rFonts w:hint="default" w:ascii="Times New Roman" w:hAnsi="Times New Roman" w:eastAsia="楷体" w:cs="Times New Roman"/>
          <w:color w:val="auto"/>
          <w:sz w:val="28"/>
          <w:szCs w:val="28"/>
          <w:lang w:val="en-US" w:eastAsia="zh-CN"/>
        </w:rPr>
        <w:t>项目</w:t>
      </w:r>
      <w:r>
        <w:rPr>
          <w:rFonts w:hint="default" w:ascii="Times New Roman" w:hAnsi="Times New Roman" w:eastAsia="楷体" w:cs="Times New Roman"/>
          <w:color w:val="auto"/>
          <w:sz w:val="28"/>
          <w:szCs w:val="28"/>
          <w:lang w:eastAsia="zh-CN"/>
        </w:rPr>
        <w:t>总投资</w:t>
      </w:r>
      <w:r>
        <w:rPr>
          <w:rFonts w:hint="eastAsia" w:eastAsia="楷体" w:cs="Times New Roman"/>
          <w:color w:val="auto"/>
          <w:sz w:val="28"/>
          <w:szCs w:val="28"/>
          <w:lang w:val="en-US" w:eastAsia="zh-CN"/>
        </w:rPr>
        <w:t>47.87万</w:t>
      </w:r>
      <w:r>
        <w:rPr>
          <w:rFonts w:hint="default" w:ascii="Times New Roman" w:hAnsi="Times New Roman" w:eastAsia="楷体" w:cs="Times New Roman"/>
          <w:color w:val="auto"/>
          <w:sz w:val="28"/>
          <w:szCs w:val="28"/>
          <w:lang w:val="en-US" w:eastAsia="zh-CN"/>
        </w:rPr>
        <w:t>元，</w:t>
      </w:r>
      <w:r>
        <w:rPr>
          <w:rFonts w:hint="default" w:ascii="Times New Roman" w:hAnsi="Times New Roman" w:eastAsia="楷体" w:cs="Times New Roman"/>
          <w:color w:val="auto"/>
          <w:sz w:val="28"/>
          <w:szCs w:val="28"/>
        </w:rPr>
        <w:t>占地</w:t>
      </w:r>
      <w:r>
        <w:rPr>
          <w:rFonts w:hint="default" w:ascii="Times New Roman" w:hAnsi="Times New Roman" w:eastAsia="楷体" w:cs="Times New Roman"/>
          <w:color w:val="auto"/>
          <w:sz w:val="28"/>
          <w:szCs w:val="28"/>
          <w:lang w:eastAsia="zh-CN"/>
        </w:rPr>
        <w:t>面积</w:t>
      </w:r>
      <w:r>
        <w:rPr>
          <w:rFonts w:hint="eastAsia" w:eastAsia="楷体" w:cs="Times New Roman"/>
          <w:color w:val="auto"/>
          <w:sz w:val="28"/>
          <w:szCs w:val="28"/>
          <w:lang w:val="en-US" w:eastAsia="zh-CN"/>
        </w:rPr>
        <w:t>1300</w:t>
      </w:r>
      <w:r>
        <w:rPr>
          <w:rFonts w:hint="default" w:ascii="Times New Roman" w:hAnsi="Times New Roman" w:eastAsia="楷体" w:cs="Times New Roman"/>
          <w:color w:val="auto"/>
          <w:sz w:val="28"/>
          <w:szCs w:val="28"/>
          <w:lang w:val="en-US" w:eastAsia="zh-CN"/>
        </w:rPr>
        <w:t>m</w:t>
      </w:r>
      <w:r>
        <w:rPr>
          <w:rFonts w:hint="default" w:ascii="Times New Roman" w:hAnsi="Times New Roman" w:eastAsia="楷体" w:cs="Times New Roman"/>
          <w:color w:val="auto"/>
          <w:sz w:val="28"/>
          <w:szCs w:val="28"/>
          <w:vertAlign w:val="superscript"/>
        </w:rPr>
        <w:t>2</w:t>
      </w:r>
      <w:r>
        <w:rPr>
          <w:rFonts w:hint="default" w:ascii="Times New Roman" w:hAnsi="Times New Roman" w:eastAsia="楷体" w:cs="Times New Roman"/>
          <w:color w:val="auto"/>
          <w:sz w:val="28"/>
          <w:szCs w:val="28"/>
        </w:rPr>
        <w:t>，</w:t>
      </w:r>
      <w:r>
        <w:rPr>
          <w:rFonts w:hint="default" w:ascii="Times New Roman" w:hAnsi="Times New Roman" w:eastAsia="楷体" w:cs="Times New Roman"/>
          <w:color w:val="auto"/>
          <w:sz w:val="28"/>
          <w:szCs w:val="28"/>
          <w:lang w:eastAsia="zh-CN"/>
        </w:rPr>
        <w:t>建设</w:t>
      </w:r>
      <w:r>
        <w:rPr>
          <w:rFonts w:hint="eastAsia" w:eastAsia="楷体" w:cs="Times New Roman"/>
          <w:color w:val="auto"/>
          <w:sz w:val="28"/>
          <w:szCs w:val="28"/>
          <w:lang w:val="en-US" w:eastAsia="zh-CN"/>
        </w:rPr>
        <w:t>彩板、C型钢及碳钢加工焊接件生产项目</w:t>
      </w:r>
      <w:r>
        <w:rPr>
          <w:rFonts w:hint="default" w:ascii="Times New Roman" w:hAnsi="Times New Roman" w:eastAsia="楷体" w:cs="Times New Roman"/>
          <w:color w:val="auto"/>
          <w:sz w:val="28"/>
          <w:szCs w:val="28"/>
          <w:lang w:val="en-US" w:eastAsia="zh-CN"/>
        </w:rPr>
        <w:t>，购置</w:t>
      </w:r>
      <w:r>
        <w:rPr>
          <w:rFonts w:hint="eastAsia" w:eastAsia="楷体" w:cs="Times New Roman"/>
          <w:color w:val="auto"/>
          <w:sz w:val="28"/>
          <w:szCs w:val="28"/>
          <w:lang w:val="en-US" w:eastAsia="zh-CN"/>
        </w:rPr>
        <w:t>摇臂钻床、C型钢成型机及剪板机</w:t>
      </w:r>
      <w:r>
        <w:rPr>
          <w:rFonts w:hint="default" w:ascii="Times New Roman" w:hAnsi="Times New Roman" w:eastAsia="楷体" w:cs="Times New Roman"/>
          <w:color w:val="auto"/>
          <w:sz w:val="28"/>
          <w:szCs w:val="28"/>
          <w:lang w:val="en-US" w:eastAsia="zh-CN"/>
        </w:rPr>
        <w:t>等设备</w:t>
      </w:r>
      <w:r>
        <w:rPr>
          <w:rFonts w:hint="default" w:ascii="Times New Roman" w:hAnsi="Times New Roman" w:eastAsia="楷体" w:cs="Times New Roman"/>
          <w:color w:val="auto"/>
          <w:sz w:val="28"/>
          <w:szCs w:val="28"/>
          <w:lang w:eastAsia="zh-CN"/>
        </w:rPr>
        <w:t>及配套环保设施。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 w:cs="Times New Roman"/>
          <w:color w:val="auto"/>
          <w:sz w:val="28"/>
          <w:szCs w:val="28"/>
        </w:rPr>
        <w:t>建设性质为</w:t>
      </w:r>
      <w:r>
        <w:rPr>
          <w:rFonts w:hint="default" w:ascii="Times New Roman" w:hAnsi="Times New Roman" w:eastAsia="楷体" w:cs="Times New Roman"/>
          <w:color w:val="auto"/>
          <w:sz w:val="28"/>
          <w:szCs w:val="28"/>
          <w:lang w:val="en-US" w:eastAsia="zh-CN"/>
        </w:rPr>
        <w:t>新建</w:t>
      </w:r>
      <w:r>
        <w:rPr>
          <w:rFonts w:hint="default" w:ascii="Times New Roman" w:hAnsi="Times New Roman" w:eastAsia="楷体" w:cs="Times New Roman"/>
          <w:color w:val="auto"/>
          <w:sz w:val="28"/>
          <w:szCs w:val="28"/>
        </w:rPr>
        <w:t>，项目生产规模为：</w:t>
      </w:r>
      <w:r>
        <w:rPr>
          <w:rFonts w:hint="eastAsia" w:eastAsia="楷体" w:cs="Times New Roman"/>
          <w:color w:val="auto"/>
          <w:sz w:val="28"/>
          <w:szCs w:val="28"/>
          <w:lang w:val="en-US" w:eastAsia="zh-CN"/>
        </w:rPr>
        <w:t>年生产C型钢14000米、彩板15000平方米、碳钢加工焊接件30吨。</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该企业于2017年7月开展了彩板、C型钢及碳钢加工焊接件生产项目，已取得东阿县环保局下发的环评批复（东环报告表[2017]79号），该项目主要生产工序为下料、切割、钻孔等，由于后期企业建设过程中生产工艺发生重大变化，新增了焊接、折弯等工艺，但未进行环保验收，因此项目重新报批。</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2018年9月东阿县江宇建筑安装有限公司委托青岛洁瑞环保技术服务有限公司编制了《东阿县江宇建筑安装有限公司彩板、C型钢及碳钢加工焊接件生产项目环境影响报告表》，2018年11月6日东阿县环境保护局以东环报告表[2018]121号对其进行了审批。2018年11月份公司委托山东聊和环保科技有限公司进行该项目的环保验收监测工作，接受委托后山东聊和环保科技有限公司组织有关技术人员进行现场踏勘，依据监测技术规范制定了环保验收监测方案，并于2018年11月11日-12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项目实际总投资</w:t>
      </w:r>
      <w:r>
        <w:rPr>
          <w:rFonts w:hint="eastAsia" w:eastAsia="楷体" w:cs="Times New Roman"/>
          <w:color w:val="auto"/>
          <w:sz w:val="28"/>
          <w:szCs w:val="28"/>
          <w:lang w:val="en-US" w:eastAsia="zh-CN"/>
        </w:rPr>
        <w:t>47.87万</w:t>
      </w:r>
      <w:r>
        <w:rPr>
          <w:rFonts w:hint="default" w:ascii="Times New Roman" w:hAnsi="Times New Roman" w:eastAsia="楷体" w:cs="Times New Roman"/>
          <w:color w:val="auto"/>
          <w:sz w:val="28"/>
          <w:szCs w:val="28"/>
        </w:rPr>
        <w:t>元，其中环保投资</w:t>
      </w:r>
      <w:r>
        <w:rPr>
          <w:rFonts w:hint="eastAsia" w:eastAsia="楷体" w:cs="Times New Roman"/>
          <w:color w:val="auto"/>
          <w:sz w:val="28"/>
          <w:szCs w:val="28"/>
          <w:lang w:val="en-US" w:eastAsia="zh-CN"/>
        </w:rPr>
        <w:t>1.7</w:t>
      </w:r>
      <w:r>
        <w:rPr>
          <w:rFonts w:hint="default" w:ascii="Times New Roman" w:hAnsi="Times New Roman" w:eastAsia="楷体" w:cs="Times New Roman"/>
          <w:color w:val="auto"/>
          <w:sz w:val="28"/>
          <w:szCs w:val="28"/>
        </w:rPr>
        <w:t>万元。占总投资</w:t>
      </w:r>
      <w:r>
        <w:rPr>
          <w:rFonts w:hint="eastAsia" w:eastAsia="楷体" w:cs="Times New Roman"/>
          <w:color w:val="auto"/>
          <w:sz w:val="28"/>
          <w:szCs w:val="28"/>
          <w:lang w:val="en-US" w:eastAsia="zh-CN"/>
        </w:rPr>
        <w:t>3.5</w:t>
      </w:r>
      <w:r>
        <w:rPr>
          <w:rFonts w:hint="default" w:ascii="Times New Roman" w:hAnsi="Times New Roman" w:eastAsia="楷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本次验收的范围为</w:t>
      </w:r>
      <w:r>
        <w:rPr>
          <w:rFonts w:hint="eastAsia" w:eastAsia="楷体" w:cs="Times New Roman"/>
          <w:color w:val="auto"/>
          <w:sz w:val="28"/>
          <w:szCs w:val="28"/>
          <w:lang w:val="en-US" w:eastAsia="zh-CN"/>
        </w:rPr>
        <w:t>C型钢14000米、彩板15000平方米、碳钢加工焊接件30吨</w:t>
      </w:r>
      <w:r>
        <w:rPr>
          <w:rFonts w:hint="default" w:ascii="Times New Roman" w:hAnsi="Times New Roman" w:eastAsia="楷体" w:cs="Times New Roman"/>
          <w:color w:val="auto"/>
          <w:sz w:val="28"/>
          <w:szCs w:val="28"/>
          <w:lang w:val="en-US" w:eastAsia="zh-CN"/>
        </w:rPr>
        <w:t>生产设备</w:t>
      </w:r>
      <w:r>
        <w:rPr>
          <w:rFonts w:hint="default" w:ascii="Times New Roman" w:hAnsi="Times New Roman" w:eastAsia="楷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二、工程变更情况</w:t>
      </w:r>
    </w:p>
    <w:p>
      <w:pPr>
        <w:spacing w:line="360" w:lineRule="auto"/>
        <w:ind w:firstLine="840" w:firstLineChars="3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通过现场调查，剪板机比环评数量多一台（作备用设备），故本项目新增设备不影响综合产能，不涉及重大变更。对照环评报告及审批意见，生产性质、生产地点、生产规模及环保设施均无明显变动，故本项目工程无重大变动</w:t>
      </w:r>
      <w:r>
        <w:rPr>
          <w:rFonts w:hint="default" w:ascii="Times New Roman" w:hAnsi="Times New Roman" w:eastAsia="楷体" w:cs="Times New Roman"/>
          <w:color w:val="auto"/>
          <w:sz w:val="28"/>
          <w:szCs w:val="28"/>
        </w:rPr>
        <w:t>。</w:t>
      </w:r>
    </w:p>
    <w:p>
      <w:pPr>
        <w:pStyle w:val="2"/>
        <w:rPr>
          <w:rFonts w:hint="default" w:ascii="Times New Roman" w:hAnsi="Times New Roman" w:eastAsia="楷体" w:cs="Times New Roman"/>
          <w:color w:val="auto"/>
          <w:sz w:val="28"/>
          <w:szCs w:val="28"/>
        </w:rPr>
      </w:pPr>
    </w:p>
    <w:p>
      <w:pPr>
        <w:pStyle w:val="2"/>
        <w:rPr>
          <w:rFonts w:hint="default" w:ascii="Times New Roman" w:hAnsi="Times New Roman" w:eastAsia="楷体" w:cs="Times New Roman"/>
          <w:color w:val="auto"/>
          <w:sz w:val="28"/>
          <w:szCs w:val="28"/>
        </w:rPr>
      </w:pPr>
    </w:p>
    <w:p>
      <w:pPr>
        <w:pStyle w:val="2"/>
        <w:rPr>
          <w:rFonts w:hint="default" w:ascii="Times New Roman" w:hAnsi="Times New Roman" w:eastAsia="楷体" w:cs="Times New Roman"/>
          <w:color w:val="auto"/>
          <w:sz w:val="28"/>
          <w:szCs w:val="28"/>
        </w:rPr>
      </w:pPr>
    </w:p>
    <w:p>
      <w:pPr>
        <w:pStyle w:val="9"/>
        <w:numPr>
          <w:ilvl w:val="0"/>
          <w:numId w:val="1"/>
        </w:numPr>
        <w:spacing w:line="360" w:lineRule="auto"/>
        <w:ind w:firstLineChars="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本项目无生产废水，生活污水排入旱厕后定期清掏外运。</w:t>
      </w:r>
    </w:p>
    <w:p>
      <w:pPr>
        <w:widowControl/>
        <w:spacing w:line="360" w:lineRule="auto"/>
        <w:ind w:firstLine="420" w:firstLineChars="150"/>
        <w:jc w:val="left"/>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该项目废气主要为切割产生的烟尘与焊接工序产生的焊接烟尘。本项目部分型材需要进行切割，会产生切割烟尘，颗粒物较大，经加强车间通风后无组织排放。本项目所有焊机焊接方式为二氧化碳保护焊，本项目对焊接烟尘采用移动式焊接烟尘净化进行处理，焊接烟尘经净化处理后车间内无组织排放。</w:t>
      </w:r>
    </w:p>
    <w:p>
      <w:pPr>
        <w:spacing w:line="360" w:lineRule="auto"/>
        <w:ind w:left="0" w:leftChars="0" w:firstLine="420" w:firstLineChars="15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本项目噪声源主要为剪板机、折弯机、钻床、切割机等设备运转时产生的噪声，项目方通过车间隔声、使用低噪音设备、加强绿化及距离衰减等措施，降低对外声环境的影响。 </w:t>
      </w:r>
    </w:p>
    <w:p>
      <w:pPr>
        <w:spacing w:line="360" w:lineRule="auto"/>
        <w:ind w:firstLine="420" w:firstLineChars="150"/>
        <w:jc w:val="left"/>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rPr>
        <w:t>（四）固体废物</w:t>
      </w:r>
    </w:p>
    <w:p>
      <w:pPr>
        <w:pStyle w:val="2"/>
        <w:spacing w:line="360" w:lineRule="auto"/>
        <w:ind w:left="0" w:leftChars="0" w:firstLine="560" w:firstLineChars="200"/>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本项目切割、车削工序产生的下脚料与钻孔产生的废屑经收集后外卖物资回收公司；焊烟净化器收集的粉尘和生活垃圾由环卫部门统一清运。</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山东聊和环保科技有限公司</w:t>
      </w:r>
      <w:r>
        <w:rPr>
          <w:rFonts w:hint="default" w:ascii="Times New Roman" w:hAnsi="Times New Roman" w:eastAsia="楷体" w:cs="Times New Roman"/>
          <w:color w:val="auto"/>
          <w:sz w:val="28"/>
          <w:szCs w:val="28"/>
        </w:rPr>
        <w:t>出具的</w:t>
      </w:r>
      <w:r>
        <w:rPr>
          <w:rFonts w:hint="default" w:ascii="Times New Roman" w:hAnsi="Times New Roman" w:eastAsia="楷体" w:cs="Times New Roman"/>
          <w:b w:val="0"/>
          <w:bCs w:val="0"/>
          <w:color w:val="auto"/>
          <w:sz w:val="28"/>
          <w:szCs w:val="28"/>
        </w:rPr>
        <w:t>《</w:t>
      </w:r>
      <w:r>
        <w:rPr>
          <w:rFonts w:hint="eastAsia" w:eastAsia="楷体" w:cs="Times New Roman"/>
          <w:b w:val="0"/>
          <w:bCs w:val="0"/>
          <w:color w:val="auto"/>
          <w:sz w:val="28"/>
          <w:szCs w:val="28"/>
          <w:lang w:val="en-US" w:eastAsia="zh-CN"/>
        </w:rPr>
        <w:t>东阿县江宇建筑安装有限公司彩板、C型钢及碳钢加工焊接件生产项目</w:t>
      </w:r>
      <w:r>
        <w:rPr>
          <w:rFonts w:hint="default" w:ascii="Times New Roman" w:hAnsi="Times New Roman" w:eastAsia="楷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废水</w:t>
      </w:r>
    </w:p>
    <w:p>
      <w:pPr>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本项目无生产废水，生活污水排入旱厕后定期清掏外运。</w:t>
      </w:r>
    </w:p>
    <w:p>
      <w:pPr>
        <w:pStyle w:val="2"/>
        <w:rPr>
          <w:rFonts w:hint="default"/>
          <w:lang w:val="en-US" w:eastAsia="zh-CN"/>
        </w:rPr>
      </w:pPr>
    </w:p>
    <w:p>
      <w:pPr>
        <w:numPr>
          <w:ilvl w:val="0"/>
          <w:numId w:val="3"/>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废气</w:t>
      </w:r>
    </w:p>
    <w:p>
      <w:pPr>
        <w:spacing w:line="360" w:lineRule="auto"/>
        <w:ind w:firstLine="560" w:firstLineChars="20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验收监测期间，无组织颗粒物小时浓度最高为0.401mg/m</w:t>
      </w:r>
      <w:r>
        <w:rPr>
          <w:rFonts w:hint="default" w:ascii="Times New Roman" w:hAnsi="Times New Roman" w:eastAsia="楷体" w:cs="Times New Roman"/>
          <w:color w:val="auto"/>
          <w:sz w:val="28"/>
          <w:szCs w:val="28"/>
          <w:vertAlign w:val="superscript"/>
          <w:lang w:val="en-US" w:eastAsia="zh-CN"/>
        </w:rPr>
        <w:t>3</w:t>
      </w:r>
      <w:r>
        <w:rPr>
          <w:rFonts w:hint="default" w:ascii="Times New Roman" w:hAnsi="Times New Roman" w:eastAsia="楷体" w:cs="Times New Roman"/>
          <w:color w:val="auto"/>
          <w:sz w:val="28"/>
          <w:szCs w:val="28"/>
          <w:lang w:val="en-US" w:eastAsia="zh-CN"/>
        </w:rPr>
        <w:t>，满足《大气污染物综合排放标准》（GB16297-1996）表2中的相应的无组织排放监控浓度限制要求。</w:t>
      </w:r>
    </w:p>
    <w:p>
      <w:pPr>
        <w:numPr>
          <w:ilvl w:val="0"/>
          <w:numId w:val="3"/>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噪声</w:t>
      </w:r>
    </w:p>
    <w:p>
      <w:pPr>
        <w:numPr>
          <w:ilvl w:val="0"/>
          <w:numId w:val="0"/>
        </w:numPr>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验收监测期间，监测点位昼间噪声在</w:t>
      </w:r>
      <w:r>
        <w:rPr>
          <w:rFonts w:hint="default" w:ascii="Times New Roman" w:hAnsi="Times New Roman" w:eastAsia="楷体" w:cs="Times New Roman"/>
          <w:color w:val="auto"/>
          <w:sz w:val="28"/>
          <w:szCs w:val="28"/>
          <w:lang w:val="en-US" w:eastAsia="zh-CN"/>
        </w:rPr>
        <w:t>53.1dB(A)-57.8dB(A)</w:t>
      </w:r>
      <w:r>
        <w:rPr>
          <w:rFonts w:hint="default" w:ascii="Times New Roman" w:hAnsi="Times New Roman" w:eastAsia="楷体" w:cs="Times New Roman"/>
          <w:color w:val="auto"/>
          <w:sz w:val="28"/>
          <w:szCs w:val="28"/>
          <w:lang w:eastAsia="zh-CN"/>
        </w:rPr>
        <w:t>之间，满足《工业企业厂界环境噪声排放标准》（GB12348－2008）中的</w:t>
      </w:r>
      <w:r>
        <w:rPr>
          <w:rFonts w:hint="default" w:ascii="Times New Roman" w:hAnsi="Times New Roman" w:eastAsia="楷体" w:cs="Times New Roman"/>
          <w:color w:val="auto"/>
          <w:sz w:val="28"/>
          <w:szCs w:val="28"/>
          <w:lang w:val="en-US" w:eastAsia="zh-CN"/>
        </w:rPr>
        <w:t>2</w:t>
      </w:r>
      <w:r>
        <w:rPr>
          <w:rFonts w:hint="default" w:ascii="Times New Roman" w:hAnsi="Times New Roman" w:eastAsia="楷体" w:cs="Times New Roman"/>
          <w:color w:val="auto"/>
          <w:sz w:val="28"/>
          <w:szCs w:val="28"/>
          <w:lang w:eastAsia="zh-CN"/>
        </w:rPr>
        <w:t>类标准限值。</w:t>
      </w:r>
    </w:p>
    <w:p>
      <w:pPr>
        <w:numPr>
          <w:ilvl w:val="0"/>
          <w:numId w:val="4"/>
        </w:numPr>
        <w:spacing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本项目切割、车削工序产生的下脚料与钻孔产生的废屑经收集后外卖物资回收公司；焊烟净化器收集的粉尘和生活垃圾由环卫部门统一清运。</w:t>
      </w:r>
    </w:p>
    <w:p>
      <w:pPr>
        <w:spacing w:beforeLines="50" w:line="360" w:lineRule="auto"/>
        <w:ind w:firstLine="280" w:firstLineChars="1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（二）环境管理调查</w:t>
      </w:r>
    </w:p>
    <w:p>
      <w:pPr>
        <w:spacing w:line="360" w:lineRule="auto"/>
        <w:ind w:firstLine="560" w:firstLineChars="200"/>
        <w:rPr>
          <w:rFonts w:hint="default" w:ascii="Times New Roman" w:hAnsi="Times New Roman" w:eastAsia="楷体" w:cs="Times New Roman"/>
          <w:color w:val="auto"/>
          <w:sz w:val="28"/>
          <w:szCs w:val="28"/>
        </w:rPr>
      </w:pPr>
      <w:r>
        <w:rPr>
          <w:rFonts w:hint="eastAsia" w:eastAsia="楷体" w:cs="Times New Roman"/>
          <w:color w:val="auto"/>
          <w:sz w:val="28"/>
          <w:szCs w:val="36"/>
          <w:lang w:eastAsia="zh-CN"/>
        </w:rPr>
        <w:t>东阿县江宇建筑安装有限公司</w:t>
      </w:r>
      <w:r>
        <w:rPr>
          <w:rFonts w:hint="default" w:ascii="Times New Roman" w:hAnsi="Times New Roman" w:eastAsia="楷体" w:cs="Times New Roman"/>
          <w:color w:val="auto"/>
          <w:sz w:val="28"/>
          <w:szCs w:val="28"/>
        </w:rPr>
        <w:t>制定了《</w:t>
      </w:r>
      <w:r>
        <w:rPr>
          <w:rFonts w:hint="eastAsia" w:eastAsia="楷体" w:cs="Times New Roman"/>
          <w:color w:val="auto"/>
          <w:sz w:val="28"/>
          <w:szCs w:val="36"/>
          <w:lang w:eastAsia="zh-CN"/>
        </w:rPr>
        <w:t>东阿县江宇建筑安装有限公司</w:t>
      </w:r>
      <w:r>
        <w:rPr>
          <w:rFonts w:hint="default" w:ascii="Times New Roman" w:hAnsi="Times New Roman" w:eastAsia="楷体" w:cs="Times New Roman"/>
          <w:color w:val="auto"/>
          <w:sz w:val="28"/>
          <w:szCs w:val="28"/>
        </w:rPr>
        <w:t>环保管理制度》</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并设立了相关机构。日常工作由</w:t>
      </w:r>
      <w:r>
        <w:rPr>
          <w:rFonts w:hint="eastAsia" w:eastAsia="楷体" w:cs="Times New Roman"/>
          <w:color w:val="auto"/>
          <w:sz w:val="28"/>
          <w:szCs w:val="28"/>
          <w:lang w:eastAsia="zh-CN"/>
        </w:rPr>
        <w:t>办公室</w:t>
      </w:r>
      <w:r>
        <w:rPr>
          <w:rFonts w:hint="default" w:ascii="Times New Roman" w:hAnsi="Times New Roman" w:eastAsia="楷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五、专家意见：</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 w:cs="Times New Roman"/>
          <w:color w:val="auto"/>
          <w:sz w:val="28"/>
          <w:szCs w:val="28"/>
          <w:lang w:val="en-US" w:eastAsia="zh-CN"/>
        </w:rPr>
      </w:pPr>
      <w:r>
        <w:rPr>
          <w:rFonts w:hint="default" w:ascii="Times New Roman" w:hAnsi="Times New Roman" w:eastAsia="楷体" w:cs="Times New Roman"/>
          <w:color w:val="auto"/>
          <w:sz w:val="28"/>
          <w:szCs w:val="28"/>
          <w:lang w:val="en-US" w:eastAsia="zh-CN"/>
        </w:rPr>
        <w:t>规范存放原材料、产品</w:t>
      </w:r>
      <w:r>
        <w:rPr>
          <w:rFonts w:hint="eastAsia" w:ascii="Times New Roman" w:hAnsi="Times New Roman" w:eastAsia="楷体" w:cs="Times New Roman"/>
          <w:color w:val="auto"/>
          <w:sz w:val="28"/>
          <w:szCs w:val="28"/>
          <w:lang w:val="en-US" w:eastAsia="zh-CN"/>
        </w:rPr>
        <w:t>及下脚料</w:t>
      </w:r>
      <w:r>
        <w:rPr>
          <w:rFonts w:hint="default" w:ascii="Times New Roman" w:hAnsi="Times New Roman" w:eastAsia="楷体" w:cs="Times New Roman"/>
          <w:color w:val="auto"/>
          <w:sz w:val="28"/>
          <w:szCs w:val="28"/>
          <w:lang w:val="en-US" w:eastAsia="zh-CN"/>
        </w:rPr>
        <w:t>，保持厂区卫生。</w:t>
      </w:r>
    </w:p>
    <w:p>
      <w:pPr>
        <w:spacing w:line="360" w:lineRule="auto"/>
        <w:ind w:firstLine="420" w:firstLineChars="15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eastAsia="zh-CN"/>
        </w:rPr>
        <w:t>六</w:t>
      </w:r>
      <w:r>
        <w:rPr>
          <w:rFonts w:hint="default" w:ascii="Times New Roman" w:hAnsi="Times New Roman" w:eastAsia="楷体" w:cs="Times New Roman"/>
          <w:color w:val="auto"/>
          <w:sz w:val="28"/>
          <w:szCs w:val="28"/>
        </w:rPr>
        <w:t>、验收结论</w:t>
      </w:r>
    </w:p>
    <w:p>
      <w:pPr>
        <w:spacing w:line="360" w:lineRule="auto"/>
        <w:ind w:firstLine="555"/>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rPr>
        <w:t xml:space="preserve">                   </w:t>
      </w:r>
    </w:p>
    <w:p>
      <w:pPr>
        <w:spacing w:line="360" w:lineRule="auto"/>
        <w:jc w:val="right"/>
        <w:rPr>
          <w:rFonts w:hint="default" w:ascii="Times New Roman" w:hAnsi="Times New Roman" w:eastAsia="楷体" w:cs="Times New Roman"/>
          <w:color w:val="auto"/>
          <w:sz w:val="28"/>
          <w:szCs w:val="28"/>
        </w:rPr>
      </w:pPr>
    </w:p>
    <w:p>
      <w:pPr>
        <w:spacing w:line="360" w:lineRule="auto"/>
        <w:jc w:val="right"/>
        <w:rPr>
          <w:rFonts w:hint="default" w:ascii="Times New Roman" w:hAnsi="Times New Roman" w:eastAsia="楷体" w:cs="Times New Roman"/>
          <w:color w:val="auto"/>
          <w:sz w:val="28"/>
          <w:szCs w:val="28"/>
        </w:rPr>
      </w:pPr>
    </w:p>
    <w:p>
      <w:pPr>
        <w:spacing w:line="360" w:lineRule="auto"/>
        <w:jc w:val="right"/>
        <w:rPr>
          <w:rFonts w:hint="default" w:ascii="Times New Roman" w:hAnsi="Times New Roman" w:eastAsia="楷体" w:cs="Times New Roman"/>
          <w:color w:val="auto"/>
          <w:sz w:val="28"/>
          <w:szCs w:val="28"/>
        </w:rPr>
      </w:pPr>
      <w:r>
        <w:rPr>
          <w:rFonts w:hint="eastAsia" w:eastAsia="楷体" w:cs="Times New Roman"/>
          <w:color w:val="auto"/>
          <w:sz w:val="28"/>
          <w:szCs w:val="36"/>
          <w:lang w:eastAsia="zh-CN"/>
        </w:rPr>
        <w:t>东阿县江宇建筑安装有限公司</w:t>
      </w:r>
      <w:r>
        <w:rPr>
          <w:rFonts w:hint="default" w:ascii="Times New Roman" w:hAnsi="Times New Roman" w:eastAsia="楷体" w:cs="Times New Roman"/>
          <w:color w:val="auto"/>
          <w:sz w:val="28"/>
          <w:szCs w:val="28"/>
        </w:rPr>
        <w:t>验收组</w:t>
      </w:r>
    </w:p>
    <w:p>
      <w:pPr>
        <w:spacing w:line="360" w:lineRule="auto"/>
        <w:jc w:val="right"/>
        <w:rPr>
          <w:rFonts w:hint="default" w:ascii="Times New Roman" w:hAnsi="Times New Roman" w:eastAsia="楷体" w:cs="Times New Roman"/>
          <w:color w:val="auto"/>
          <w:lang w:eastAsia="zh-CN"/>
        </w:rPr>
      </w:pPr>
      <w:r>
        <w:rPr>
          <w:rFonts w:hint="default" w:ascii="Times New Roman" w:hAnsi="Times New Roman" w:eastAsia="楷体" w:cs="Times New Roman"/>
          <w:color w:val="auto"/>
          <w:sz w:val="28"/>
          <w:szCs w:val="28"/>
        </w:rPr>
        <w:t xml:space="preserve">                            </w:t>
      </w:r>
      <w:r>
        <w:rPr>
          <w:rFonts w:hint="default" w:ascii="Times New Roman" w:hAnsi="Times New Roman" w:eastAsia="楷体" w:cs="Times New Roman"/>
          <w:color w:val="auto"/>
          <w:sz w:val="28"/>
          <w:szCs w:val="28"/>
          <w:highlight w:val="none"/>
        </w:rPr>
        <w:t xml:space="preserve">    2018年</w:t>
      </w:r>
      <w:r>
        <w:rPr>
          <w:rFonts w:hint="eastAsia" w:eastAsia="楷体" w:cs="Times New Roman"/>
          <w:color w:val="auto"/>
          <w:sz w:val="28"/>
          <w:szCs w:val="28"/>
          <w:highlight w:val="none"/>
          <w:lang w:val="en-US" w:eastAsia="zh-CN"/>
        </w:rPr>
        <w:t>11</w:t>
      </w:r>
      <w:r>
        <w:rPr>
          <w:rFonts w:hint="default" w:ascii="Times New Roman" w:hAnsi="Times New Roman" w:eastAsia="楷体" w:cs="Times New Roman"/>
          <w:color w:val="auto"/>
          <w:sz w:val="28"/>
          <w:szCs w:val="28"/>
          <w:highlight w:val="none"/>
        </w:rPr>
        <w:t>月</w:t>
      </w:r>
      <w:r>
        <w:rPr>
          <w:rFonts w:hint="eastAsia" w:eastAsia="楷体" w:cs="Times New Roman"/>
          <w:color w:val="auto"/>
          <w:sz w:val="28"/>
          <w:szCs w:val="28"/>
          <w:highlight w:val="none"/>
          <w:lang w:val="en-US" w:eastAsia="zh-CN"/>
        </w:rPr>
        <w:t>20</w:t>
      </w:r>
      <w:bookmarkStart w:id="0" w:name="_GoBack"/>
      <w:bookmarkEnd w:id="0"/>
      <w:r>
        <w:rPr>
          <w:rFonts w:hint="default" w:ascii="Times New Roman" w:hAnsi="Times New Roman" w:eastAsia="楷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FD6596"/>
    <w:rsid w:val="06DF2672"/>
    <w:rsid w:val="0705220E"/>
    <w:rsid w:val="0A775B6C"/>
    <w:rsid w:val="0BB105F9"/>
    <w:rsid w:val="0BCD78E3"/>
    <w:rsid w:val="0BD4352F"/>
    <w:rsid w:val="110D6D4E"/>
    <w:rsid w:val="13242E95"/>
    <w:rsid w:val="13C97717"/>
    <w:rsid w:val="15053351"/>
    <w:rsid w:val="16D20B22"/>
    <w:rsid w:val="16FC509C"/>
    <w:rsid w:val="18D05E89"/>
    <w:rsid w:val="19A14B89"/>
    <w:rsid w:val="19BD6A9B"/>
    <w:rsid w:val="1A437988"/>
    <w:rsid w:val="1AAF6CA7"/>
    <w:rsid w:val="1E2D4C00"/>
    <w:rsid w:val="1F6856A1"/>
    <w:rsid w:val="26B564F3"/>
    <w:rsid w:val="27420539"/>
    <w:rsid w:val="286B6E9D"/>
    <w:rsid w:val="2A0D29B1"/>
    <w:rsid w:val="2B413633"/>
    <w:rsid w:val="2BFB35B9"/>
    <w:rsid w:val="2C47060B"/>
    <w:rsid w:val="31572BC2"/>
    <w:rsid w:val="39D31BFF"/>
    <w:rsid w:val="39D9507A"/>
    <w:rsid w:val="3B2962D5"/>
    <w:rsid w:val="3C5A0C2E"/>
    <w:rsid w:val="3C614E95"/>
    <w:rsid w:val="3E315A2A"/>
    <w:rsid w:val="42D02360"/>
    <w:rsid w:val="440B2C50"/>
    <w:rsid w:val="45B12AB5"/>
    <w:rsid w:val="48F958C4"/>
    <w:rsid w:val="516D3DB9"/>
    <w:rsid w:val="52082039"/>
    <w:rsid w:val="520B1012"/>
    <w:rsid w:val="56DD1623"/>
    <w:rsid w:val="5CCB6F86"/>
    <w:rsid w:val="5DAD62F9"/>
    <w:rsid w:val="5F0C4CFF"/>
    <w:rsid w:val="60754DD6"/>
    <w:rsid w:val="65826A80"/>
    <w:rsid w:val="66FB5067"/>
    <w:rsid w:val="68594904"/>
    <w:rsid w:val="6A4209DB"/>
    <w:rsid w:val="6AB12CAA"/>
    <w:rsid w:val="6ABA50EB"/>
    <w:rsid w:val="6DEB0CC4"/>
    <w:rsid w:val="6E620EC2"/>
    <w:rsid w:val="77930543"/>
    <w:rsid w:val="7E121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2018-11-20T01:01:24Z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