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莘县特佳钢管加工厂年加工1500吨精密套筒管项目（一期）</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1</w:t>
      </w:r>
      <w:r>
        <w:rPr>
          <w:rFonts w:hint="eastAsia" w:ascii="楷体" w:hAnsi="楷体" w:eastAsia="楷体" w:cs="楷体"/>
          <w:sz w:val="28"/>
          <w:szCs w:val="28"/>
        </w:rPr>
        <w:t>日，</w:t>
      </w:r>
      <w:r>
        <w:rPr>
          <w:rFonts w:hint="eastAsia" w:ascii="楷体" w:hAnsi="楷体" w:eastAsia="楷体" w:cs="楷体"/>
          <w:sz w:val="28"/>
          <w:szCs w:val="28"/>
          <w:lang w:eastAsia="zh-CN"/>
        </w:rPr>
        <w:t>莘县特佳钢管加工厂</w:t>
      </w:r>
      <w:r>
        <w:rPr>
          <w:rFonts w:hint="eastAsia" w:ascii="楷体" w:hAnsi="楷体" w:eastAsia="楷体" w:cs="楷体"/>
          <w:sz w:val="28"/>
          <w:szCs w:val="28"/>
        </w:rPr>
        <w:t>组织召开公司</w:t>
      </w:r>
      <w:r>
        <w:rPr>
          <w:rFonts w:hint="eastAsia" w:ascii="楷体" w:hAnsi="楷体" w:eastAsia="楷体" w:cs="楷体"/>
          <w:sz w:val="28"/>
          <w:szCs w:val="28"/>
          <w:lang w:eastAsia="zh-CN"/>
        </w:rPr>
        <w:t>年加工1500吨精密套筒管项目（一期）</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莘县特佳钢管加工厂</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w:t>
      </w:r>
      <w:r>
        <w:rPr>
          <w:rFonts w:hint="eastAsia" w:ascii="楷体" w:hAnsi="楷体" w:eastAsia="楷体" w:cs="楷体"/>
          <w:sz w:val="28"/>
          <w:szCs w:val="28"/>
          <w:lang w:eastAsia="zh-CN"/>
        </w:rPr>
        <w:t>、环评单位（</w:t>
      </w:r>
      <w:r>
        <w:rPr>
          <w:rFonts w:hint="eastAsia" w:ascii="楷体" w:hAnsi="楷体" w:eastAsia="楷体" w:cs="楷体"/>
          <w:sz w:val="28"/>
          <w:szCs w:val="28"/>
          <w:lang w:val="en-US" w:eastAsia="zh-CN"/>
        </w:rPr>
        <w:t>安徽华境资环科技有限公司</w:t>
      </w:r>
      <w:r>
        <w:rPr>
          <w:rFonts w:hint="eastAsia" w:ascii="楷体" w:hAnsi="楷体" w:eastAsia="楷体" w:cs="楷体"/>
          <w:sz w:val="28"/>
          <w:szCs w:val="28"/>
          <w:lang w:eastAsia="zh-CN"/>
        </w:rPr>
        <w:t>）</w:t>
      </w:r>
      <w:r>
        <w:rPr>
          <w:rFonts w:hint="eastAsia" w:ascii="楷体" w:hAnsi="楷体" w:eastAsia="楷体" w:cs="楷体"/>
          <w:sz w:val="28"/>
          <w:szCs w:val="28"/>
        </w:rPr>
        <w:t>并特邀</w:t>
      </w:r>
      <w:r>
        <w:rPr>
          <w:rFonts w:hint="eastAsia" w:ascii="楷体" w:hAnsi="楷体" w:eastAsia="楷体" w:cs="楷体"/>
          <w:sz w:val="28"/>
          <w:szCs w:val="28"/>
          <w:lang w:val="en-US" w:eastAsia="zh-CN"/>
        </w:rPr>
        <w:t>2</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聊城市莘县柿子园镇北郭庄村南首。</w:t>
      </w:r>
      <w:r>
        <w:rPr>
          <w:rFonts w:hint="eastAsia" w:ascii="楷体" w:hAnsi="楷体" w:eastAsia="楷体" w:cs="楷体"/>
          <w:sz w:val="28"/>
          <w:szCs w:val="28"/>
        </w:rPr>
        <w:t>主要为</w:t>
      </w:r>
      <w:r>
        <w:rPr>
          <w:rFonts w:hint="eastAsia" w:ascii="楷体" w:hAnsi="楷体" w:eastAsia="楷体" w:cs="楷体"/>
          <w:sz w:val="28"/>
          <w:szCs w:val="28"/>
          <w:lang w:eastAsia="zh-CN"/>
        </w:rPr>
        <w:t>年加工1500吨精密套筒管项目（一期）</w:t>
      </w:r>
      <w:r>
        <w:rPr>
          <w:rFonts w:hint="eastAsia" w:ascii="楷体" w:hAnsi="楷体" w:eastAsia="楷体" w:cs="楷体"/>
          <w:sz w:val="28"/>
          <w:szCs w:val="28"/>
        </w:rPr>
        <w:t>，总投资</w:t>
      </w:r>
      <w:r>
        <w:rPr>
          <w:rFonts w:hint="eastAsia" w:ascii="楷体" w:hAnsi="楷体" w:eastAsia="楷体" w:cs="楷体"/>
          <w:sz w:val="28"/>
          <w:szCs w:val="28"/>
          <w:lang w:val="en-US" w:eastAsia="zh-CN"/>
        </w:rPr>
        <w:t>150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1644.94</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延伸管机、锯床、校直机、切管机、攻丝机</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本项目为新建项目，201</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11</w:t>
      </w:r>
      <w:r>
        <w:rPr>
          <w:rFonts w:hint="eastAsia" w:ascii="楷体" w:hAnsi="楷体" w:eastAsia="楷体" w:cs="楷体"/>
          <w:sz w:val="28"/>
          <w:szCs w:val="28"/>
          <w:lang w:eastAsia="zh-CN"/>
        </w:rPr>
        <w:t>月莘县特佳钢管加工厂委托安徽华境资环科技有限公司编制了《莘县特佳钢管加工厂年加工6000吨精密套筒管项目环境影响报告表》，201</w:t>
      </w:r>
      <w:r>
        <w:rPr>
          <w:rFonts w:hint="eastAsia" w:ascii="楷体" w:hAnsi="楷体" w:eastAsia="楷体" w:cs="楷体"/>
          <w:sz w:val="28"/>
          <w:szCs w:val="28"/>
          <w:lang w:val="en-US" w:eastAsia="zh-CN"/>
        </w:rPr>
        <w:t>8</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1</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11</w:t>
      </w:r>
      <w:r>
        <w:rPr>
          <w:rFonts w:hint="eastAsia" w:ascii="楷体" w:hAnsi="楷体" w:eastAsia="楷体" w:cs="楷体"/>
          <w:sz w:val="28"/>
          <w:szCs w:val="28"/>
          <w:lang w:eastAsia="zh-CN"/>
        </w:rPr>
        <w:t>日莘县环境保护局以莘环报告表[2018]5号对其进行了审批。2018年</w:t>
      </w:r>
      <w:r>
        <w:rPr>
          <w:rFonts w:hint="eastAsia" w:ascii="楷体" w:hAnsi="楷体" w:eastAsia="楷体" w:cs="楷体"/>
          <w:sz w:val="28"/>
          <w:szCs w:val="28"/>
          <w:lang w:val="en-US" w:eastAsia="zh-CN"/>
        </w:rPr>
        <w:t>9</w:t>
      </w:r>
      <w:r>
        <w:rPr>
          <w:rFonts w:hint="eastAsia" w:ascii="楷体" w:hAnsi="楷体" w:eastAsia="楷体" w:cs="楷体"/>
          <w:sz w:val="28"/>
          <w:szCs w:val="28"/>
          <w:lang w:eastAsia="zh-CN"/>
        </w:rPr>
        <w:t>月份公司委托山东聊和环保科技有限公司进行该项目的环保验收监测工作，接受委托后山东聊和环保科技有限公司组织有关技术人员进行现场踏勘，依据监测技术规范制定了环保验收监测方案，并于2018年</w:t>
      </w:r>
      <w:r>
        <w:rPr>
          <w:rFonts w:hint="eastAsia" w:ascii="楷体" w:hAnsi="楷体" w:eastAsia="楷体" w:cs="楷体"/>
          <w:sz w:val="28"/>
          <w:szCs w:val="28"/>
          <w:lang w:val="en-US" w:eastAsia="zh-CN"/>
        </w:rPr>
        <w:t>10月9日-10日</w:t>
      </w:r>
      <w:r>
        <w:rPr>
          <w:rFonts w:hint="eastAsia" w:ascii="楷体" w:hAnsi="楷体" w:eastAsia="楷体" w:cs="楷体"/>
          <w:sz w:val="28"/>
          <w:szCs w:val="28"/>
          <w:lang w:eastAsia="zh-CN"/>
        </w:rPr>
        <w:t>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150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5</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3.3</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年加工1500吨精密套筒管项目（一期）</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3"/>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3"/>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spacing w:line="360" w:lineRule="auto"/>
        <w:ind w:firstLine="840" w:firstLineChars="3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本项目生产用水循环使用，不外排。废水主要为生活污水。生活污水经化粪池收集后定期清掏，</w:t>
      </w:r>
      <w:r>
        <w:rPr>
          <w:rFonts w:hint="eastAsia" w:ascii="楷体" w:hAnsi="楷体" w:eastAsia="楷体" w:cs="楷体"/>
          <w:sz w:val="28"/>
          <w:szCs w:val="28"/>
          <w:lang w:val="en-US" w:eastAsia="zh-CN"/>
        </w:rPr>
        <w:t>不外排</w:t>
      </w:r>
      <w:r>
        <w:rPr>
          <w:rFonts w:hint="eastAsia" w:ascii="楷体" w:hAnsi="楷体" w:eastAsia="楷体" w:cs="楷体"/>
          <w:sz w:val="28"/>
          <w:szCs w:val="28"/>
          <w:lang w:eastAsia="zh-CN"/>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spacing w:line="360" w:lineRule="auto"/>
        <w:ind w:firstLine="840" w:firstLineChars="30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本项目废气主要为钢管延伸过程中润滑油摩擦产生的少量油气，以非甲烷总烃计。经收集后通过活性炭装置进行处理后由15米高排气筒排放。未被收集的非甲烷总烃通过车间通风无组织排放。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spacing w:line="360" w:lineRule="auto"/>
        <w:ind w:firstLine="560" w:firstLineChars="200"/>
        <w:rPr>
          <w:rFonts w:hint="default" w:ascii="Times New Roman" w:hAnsi="Times New Roman" w:eastAsia="楷体" w:cs="Times New Roman"/>
          <w:sz w:val="24"/>
          <w:szCs w:val="24"/>
          <w:lang w:val="en-US" w:eastAsia="zh-CN"/>
        </w:rPr>
      </w:pPr>
      <w:r>
        <w:rPr>
          <w:rFonts w:hint="default" w:ascii="楷体" w:hAnsi="楷体" w:eastAsia="楷体" w:cs="楷体"/>
          <w:kern w:val="2"/>
          <w:sz w:val="28"/>
          <w:szCs w:val="28"/>
          <w:lang w:val="en-US" w:eastAsia="zh-CN" w:bidi="ar-SA"/>
        </w:rPr>
        <w:t>本项目噪声主要来自延伸管机、锯床、攻丝机等机械设备噪声，通过将产噪设备布置在车间内，使用隔声门窗，对固定产振设备设置减震机座等有效的降噪措施能达到较好的效果。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pStyle w:val="18"/>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项目产生的固体废物主要为下脚料、不合格品、生活垃圾、废润滑油和废切削液、废活性炭等。</w:t>
      </w:r>
    </w:p>
    <w:p>
      <w:pPr>
        <w:pStyle w:val="18"/>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（1）下脚料：项目在切割、攻丝等过程产生少量下脚料品，全部经收集后外售处理。</w:t>
      </w:r>
    </w:p>
    <w:p>
      <w:pPr>
        <w:pStyle w:val="18"/>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（2）不合格品：项目生产过程中产生少量不合格品，全部经收集后外售综合利用。</w:t>
      </w:r>
    </w:p>
    <w:p>
      <w:pPr>
        <w:pStyle w:val="18"/>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（3）生活垃圾：职工日常生活产生生活垃圾，属于一般固体废物，收集后由环卫部门统一清运。</w:t>
      </w:r>
    </w:p>
    <w:p>
      <w:pPr>
        <w:pStyle w:val="18"/>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（4）废润滑油：本项目钢管毛坯延伸过程中产生废润滑油，主要含有石油类等，属于危险废物HW08废矿物油与含矿物油废物，经统一收集后委托东营争峰新能源技术有限公司进行处理。</w:t>
      </w:r>
    </w:p>
    <w:p>
      <w:pPr>
        <w:pStyle w:val="18"/>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（5）废切削液：本项目机械如锯床等产生废切削液，主要含有石油类等，属于危险废物HW09油/水、烃/水混合物或乳化液，废物代码900-006-09，经统一收集后委托东营争峰新能源技术有限公司处理。</w:t>
      </w:r>
    </w:p>
    <w:p>
      <w:pPr>
        <w:pStyle w:val="18"/>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（6）废活性炭：本项目活性炭装置产生的废活性炭属于危险废物HW49其他废物，废物代码900-041-49，经统一收集后委托有资质单位进行处理。</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山东聊和环保科技有限公司出具的《莘县特佳钢管加工厂年加工1500吨精密套筒管项目（一期）竣工环境保护验收监测报告》监测结果表明：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1</w:t>
      </w:r>
      <w:r>
        <w:rPr>
          <w:rFonts w:hint="eastAsia" w:ascii="楷体" w:hAnsi="楷体" w:eastAsia="楷体" w:cs="楷体"/>
          <w:sz w:val="28"/>
          <w:szCs w:val="28"/>
        </w:rPr>
        <w:t>、噪声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验收监测期间，项目周围监测点位昼间噪声在56.8dB(A)-58.2dB(A)之间，符合《工业企业厂界环境噪声排放标准》（GB12348－2008）中的2类标准限值。</w:t>
      </w:r>
    </w:p>
    <w:p>
      <w:pPr>
        <w:pStyle w:val="9"/>
        <w:numPr>
          <w:ilvl w:val="0"/>
          <w:numId w:val="2"/>
        </w:numPr>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废气</w:t>
      </w:r>
    </w:p>
    <w:p>
      <w:pPr>
        <w:spacing w:beforeLines="50" w:line="360" w:lineRule="auto"/>
        <w:ind w:firstLine="548" w:firstLineChars="196"/>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验收监测期间，有组织非甲烷总烃最高排放浓度为0.41mg/m</w:t>
      </w:r>
      <w:r>
        <w:rPr>
          <w:rFonts w:hint="eastAsia" w:ascii="楷体" w:hAnsi="楷体" w:eastAsia="楷体" w:cs="楷体"/>
          <w:sz w:val="28"/>
          <w:szCs w:val="28"/>
          <w:vertAlign w:val="superscript"/>
          <w:lang w:val="en-US" w:eastAsia="zh-CN"/>
        </w:rPr>
        <w:t>3</w:t>
      </w:r>
      <w:r>
        <w:rPr>
          <w:rFonts w:hint="eastAsia" w:ascii="楷体" w:hAnsi="楷体" w:eastAsia="楷体" w:cs="楷体"/>
          <w:sz w:val="28"/>
          <w:szCs w:val="28"/>
          <w:lang w:val="en-US" w:eastAsia="zh-CN"/>
        </w:rPr>
        <w:t>，速率最高为0.002kg/h，满足《大气污染物综合排放标准》GB16297-1996）表2中的相关标准要求。无组织非甲烷总烃最高排放浓度为0.32mg/m</w:t>
      </w:r>
      <w:r>
        <w:rPr>
          <w:rFonts w:hint="eastAsia" w:ascii="楷体" w:hAnsi="楷体" w:eastAsia="楷体" w:cs="楷体"/>
          <w:sz w:val="28"/>
          <w:szCs w:val="28"/>
          <w:vertAlign w:val="superscript"/>
          <w:lang w:val="en-US" w:eastAsia="zh-CN"/>
        </w:rPr>
        <w:t>3</w:t>
      </w:r>
      <w:r>
        <w:rPr>
          <w:rFonts w:hint="eastAsia" w:ascii="楷体" w:hAnsi="楷体" w:eastAsia="楷体" w:cs="楷体"/>
          <w:sz w:val="28"/>
          <w:szCs w:val="28"/>
          <w:lang w:val="en-US" w:eastAsia="zh-CN"/>
        </w:rPr>
        <w:t>,满足《大气污染物综合排放标准》GB16297-1996）表2中的无组织排放标准要求。</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3、</w:t>
      </w:r>
      <w:r>
        <w:rPr>
          <w:rFonts w:hint="eastAsia" w:ascii="楷体" w:hAnsi="楷体" w:eastAsia="楷体" w:cs="楷体"/>
          <w:sz w:val="28"/>
          <w:szCs w:val="28"/>
        </w:rPr>
        <w:t>固体废物</w:t>
      </w:r>
    </w:p>
    <w:p>
      <w:pPr>
        <w:widowControl/>
        <w:spacing w:line="360" w:lineRule="auto"/>
        <w:ind w:firstLine="700" w:firstLineChars="2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项目产生的固体废物主要为下脚料、不合格品、生活垃圾、废润滑油和废切削液、废活性炭等。</w:t>
      </w:r>
    </w:p>
    <w:p>
      <w:pPr>
        <w:widowControl/>
        <w:spacing w:line="360" w:lineRule="auto"/>
        <w:ind w:firstLine="700" w:firstLineChars="2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（1）下脚料：项目在切割、攻丝等过程产生少量下脚料品，全部经收集后外售处理。</w:t>
      </w:r>
    </w:p>
    <w:p>
      <w:pPr>
        <w:widowControl/>
        <w:spacing w:line="360" w:lineRule="auto"/>
        <w:ind w:firstLine="700" w:firstLineChars="2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（2）不合格品：项目生产过程中产生少量不合格品，全部经收集后外售综合利用。</w:t>
      </w:r>
    </w:p>
    <w:p>
      <w:pPr>
        <w:widowControl/>
        <w:spacing w:line="360" w:lineRule="auto"/>
        <w:ind w:firstLine="700" w:firstLineChars="2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（3）生活垃圾：职工日常生活产生生活垃圾，属于一般固体废物，收集后由环卫部门统一清运。</w:t>
      </w:r>
    </w:p>
    <w:p>
      <w:pPr>
        <w:widowControl/>
        <w:spacing w:line="360" w:lineRule="auto"/>
        <w:ind w:firstLine="700" w:firstLineChars="2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（4）废润滑油：本项目钢管毛坯延伸过程中产生废润滑油，主要含有石油类等，属于危险废物HW08废矿物油与含矿物油废物，经统一收集后委托东营争峰新能源技术有限公司进行处理。</w:t>
      </w:r>
    </w:p>
    <w:p>
      <w:pPr>
        <w:widowControl/>
        <w:spacing w:line="360" w:lineRule="auto"/>
        <w:ind w:firstLine="700" w:firstLineChars="2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（5）废切削液：本项目机械如锯床等产生废切削液，主要含有石油类等，属于危险废物HW09油/水、烃/水混合物或乳化液，废物代码900-006-09，经统一收集后委托东营争峰新能源技术有限公司处理。</w:t>
      </w:r>
    </w:p>
    <w:p>
      <w:pPr>
        <w:widowControl/>
        <w:spacing w:line="360" w:lineRule="auto"/>
        <w:ind w:firstLine="700" w:firstLineChars="2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（6）废活性炭：本项目活性炭装置产生的废活性炭属于危险废物HW49其他废物，废物代码900-041-49，经统一收集后委托马鞍山澳新环保科技有限公司进行处理。</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莘县特佳钢管加工厂</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莘县特佳钢管加工厂</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3"/>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加强文本制作质量，审核关于设备清单、实际投资金额及工艺流程内容，使文本内容真实可靠，进一步完善、核实验收检测报告。</w:t>
      </w:r>
    </w:p>
    <w:p>
      <w:pPr>
        <w:pStyle w:val="9"/>
        <w:numPr>
          <w:ilvl w:val="0"/>
          <w:numId w:val="3"/>
        </w:numPr>
      </w:pPr>
      <w:r>
        <w:rPr>
          <w:rFonts w:hint="eastAsia" w:ascii="楷体" w:hAnsi="楷体" w:eastAsia="楷体" w:cs="楷体"/>
          <w:kern w:val="2"/>
          <w:sz w:val="28"/>
          <w:szCs w:val="28"/>
          <w:lang w:val="en-US" w:eastAsia="zh-CN" w:bidi="ar-SA"/>
        </w:rPr>
        <w:t>切管机和矫直机下方存在油污，应及时清理并在设备下方设置托盘；</w:t>
      </w:r>
    </w:p>
    <w:p>
      <w:pPr>
        <w:pStyle w:val="9"/>
        <w:numPr>
          <w:ilvl w:val="0"/>
          <w:numId w:val="3"/>
        </w:numPr>
      </w:pPr>
      <w:r>
        <w:rPr>
          <w:rFonts w:hint="eastAsia" w:ascii="楷体" w:hAnsi="楷体" w:eastAsia="楷体" w:cs="楷体"/>
          <w:kern w:val="2"/>
          <w:sz w:val="28"/>
          <w:szCs w:val="28"/>
          <w:lang w:val="en-US" w:eastAsia="zh-CN" w:bidi="ar-SA"/>
        </w:rPr>
        <w:t>及时清理下脚料：</w:t>
      </w:r>
    </w:p>
    <w:p>
      <w:pPr>
        <w:pStyle w:val="9"/>
        <w:numPr>
          <w:ilvl w:val="0"/>
          <w:numId w:val="3"/>
        </w:numPr>
      </w:pPr>
      <w:r>
        <w:rPr>
          <w:rFonts w:hint="eastAsia" w:ascii="楷体" w:hAnsi="楷体" w:eastAsia="楷体" w:cs="楷体"/>
          <w:kern w:val="2"/>
          <w:sz w:val="28"/>
          <w:szCs w:val="28"/>
          <w:lang w:val="en-US" w:eastAsia="zh-CN" w:bidi="ar-SA"/>
        </w:rPr>
        <w:t>规范危废暂存间，设置围堰，完善危废台账的记录、危废管理制度，危废协议增加对废活性炭的处置。</w:t>
      </w:r>
    </w:p>
    <w:p>
      <w:pPr>
        <w:pStyle w:val="9"/>
        <w:numPr>
          <w:ilvl w:val="0"/>
          <w:numId w:val="3"/>
        </w:numPr>
      </w:pPr>
      <w:r>
        <w:rPr>
          <w:rFonts w:hint="eastAsia" w:ascii="楷体" w:hAnsi="楷体" w:eastAsia="楷体" w:cs="楷体"/>
          <w:kern w:val="2"/>
          <w:sz w:val="28"/>
          <w:szCs w:val="28"/>
          <w:lang w:val="en-US" w:eastAsia="zh-CN" w:bidi="ar-SA"/>
        </w:rPr>
        <w:t>集气罩加设风阀；</w:t>
      </w:r>
    </w:p>
    <w:p>
      <w:pPr>
        <w:pStyle w:val="9"/>
        <w:numPr>
          <w:ilvl w:val="0"/>
          <w:numId w:val="3"/>
        </w:numPr>
      </w:pPr>
      <w:r>
        <w:rPr>
          <w:rFonts w:hint="eastAsia" w:ascii="楷体" w:hAnsi="楷体" w:eastAsia="楷体" w:cs="楷体"/>
          <w:kern w:val="2"/>
          <w:sz w:val="28"/>
          <w:szCs w:val="28"/>
          <w:lang w:val="en-US" w:eastAsia="zh-CN" w:bidi="ar-SA"/>
        </w:rPr>
        <w:t>改进活性炭处理装置，提高处理效率。</w:t>
      </w:r>
    </w:p>
    <w:p>
      <w:pPr>
        <w:pStyle w:val="9"/>
        <w:numPr>
          <w:numId w:val="0"/>
        </w:numPr>
        <w:rPr>
          <w:rFonts w:hint="eastAsia" w:ascii="楷体" w:hAnsi="楷体" w:eastAsia="楷体" w:cs="楷体"/>
          <w:kern w:val="2"/>
          <w:sz w:val="28"/>
          <w:szCs w:val="28"/>
          <w:lang w:val="en-US" w:eastAsia="zh-CN" w:bidi="ar-SA"/>
        </w:rPr>
      </w:pPr>
    </w:p>
    <w:p>
      <w:pPr>
        <w:pStyle w:val="9"/>
        <w:numPr>
          <w:numId w:val="0"/>
        </w:numPr>
        <w:rPr>
          <w:rFonts w:hint="eastAsia" w:ascii="楷体" w:hAnsi="楷体" w:eastAsia="楷体" w:cs="楷体"/>
          <w:kern w:val="2"/>
          <w:sz w:val="28"/>
          <w:szCs w:val="28"/>
          <w:lang w:val="en-US" w:eastAsia="zh-CN" w:bidi="ar-SA"/>
        </w:rPr>
      </w:pPr>
    </w:p>
    <w:p>
      <w:pPr>
        <w:pStyle w:val="10"/>
        <w:numPr>
          <w:ilvl w:val="0"/>
          <w:numId w:val="4"/>
        </w:numPr>
        <w:ind w:firstLine="280" w:firstLineChars="100"/>
        <w:rPr>
          <w:rFonts w:ascii="楷体" w:hAnsi="楷体" w:eastAsia="楷体" w:cs="楷体"/>
          <w:sz w:val="28"/>
          <w:szCs w:val="28"/>
        </w:rPr>
      </w:pPr>
      <w:r>
        <w:rPr>
          <w:rFonts w:ascii="楷体" w:hAnsi="楷体" w:eastAsia="楷体" w:cs="楷体"/>
          <w:sz w:val="28"/>
          <w:szCs w:val="28"/>
        </w:rPr>
        <w:t>现场整改照片：</w:t>
      </w:r>
    </w:p>
    <w:p>
      <w:pPr>
        <w:pStyle w:val="9"/>
        <w:jc w:val="left"/>
        <w:rPr>
          <w:rFonts w:hint="eastAsia" w:ascii="楷体" w:hAnsi="楷体" w:eastAsia="楷体" w:cs="楷体"/>
          <w:sz w:val="28"/>
          <w:szCs w:val="28"/>
          <w:lang w:eastAsia="zh-CN"/>
        </w:rPr>
      </w:pPr>
      <w:r>
        <w:rPr>
          <w:rFonts w:hint="eastAsia" w:ascii="楷体" w:hAnsi="楷体" w:eastAsia="楷体" w:cs="楷体"/>
          <w:sz w:val="28"/>
          <w:szCs w:val="28"/>
          <w:lang w:eastAsia="zh-CN"/>
        </w:rPr>
        <w:drawing>
          <wp:anchor distT="0" distB="0" distL="114300" distR="114300" simplePos="0" relativeHeight="251659264" behindDoc="0" locked="0" layoutInCell="1" allowOverlap="1">
            <wp:simplePos x="0" y="0"/>
            <wp:positionH relativeFrom="column">
              <wp:posOffset>3726180</wp:posOffset>
            </wp:positionH>
            <wp:positionV relativeFrom="paragraph">
              <wp:posOffset>4496435</wp:posOffset>
            </wp:positionV>
            <wp:extent cx="2614930" cy="3048000"/>
            <wp:effectExtent l="0" t="0" r="13970" b="0"/>
            <wp:wrapNone/>
            <wp:docPr id="2" name="图片 2" descr="微信图片_201811150939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811150939102"/>
                    <pic:cNvPicPr>
                      <a:picLocks noChangeAspect="1"/>
                    </pic:cNvPicPr>
                  </pic:nvPicPr>
                  <pic:blipFill>
                    <a:blip r:embed="rId4"/>
                    <a:stretch>
                      <a:fillRect/>
                    </a:stretch>
                  </pic:blipFill>
                  <pic:spPr>
                    <a:xfrm>
                      <a:off x="0" y="0"/>
                      <a:ext cx="2614930" cy="3048000"/>
                    </a:xfrm>
                    <a:prstGeom prst="rect">
                      <a:avLst/>
                    </a:prstGeom>
                  </pic:spPr>
                </pic:pic>
              </a:graphicData>
            </a:graphic>
          </wp:anchor>
        </w:drawing>
      </w:r>
      <w:r>
        <w:rPr>
          <w:rFonts w:hint="eastAsia" w:ascii="楷体" w:hAnsi="楷体" w:eastAsia="楷体" w:cs="楷体"/>
          <w:sz w:val="28"/>
          <w:szCs w:val="28"/>
          <w:lang w:eastAsia="zh-CN"/>
        </w:rPr>
        <w:drawing>
          <wp:anchor distT="0" distB="0" distL="114300" distR="114300" simplePos="0" relativeHeight="251658240" behindDoc="0" locked="0" layoutInCell="1" allowOverlap="1">
            <wp:simplePos x="0" y="0"/>
            <wp:positionH relativeFrom="column">
              <wp:posOffset>3425190</wp:posOffset>
            </wp:positionH>
            <wp:positionV relativeFrom="paragraph">
              <wp:posOffset>168910</wp:posOffset>
            </wp:positionV>
            <wp:extent cx="2884170" cy="4016375"/>
            <wp:effectExtent l="0" t="0" r="11430" b="3175"/>
            <wp:wrapNone/>
            <wp:docPr id="5" name="图片 5" descr="微信图片_20181115093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81115093910"/>
                    <pic:cNvPicPr>
                      <a:picLocks noChangeAspect="1"/>
                    </pic:cNvPicPr>
                  </pic:nvPicPr>
                  <pic:blipFill>
                    <a:blip r:embed="rId5"/>
                    <a:stretch>
                      <a:fillRect/>
                    </a:stretch>
                  </pic:blipFill>
                  <pic:spPr>
                    <a:xfrm>
                      <a:off x="0" y="0"/>
                      <a:ext cx="2884170" cy="4016375"/>
                    </a:xfrm>
                    <a:prstGeom prst="rect">
                      <a:avLst/>
                    </a:prstGeom>
                  </pic:spPr>
                </pic:pic>
              </a:graphicData>
            </a:graphic>
          </wp:anchor>
        </w:drawing>
      </w:r>
      <w:r>
        <w:rPr>
          <w:rFonts w:hint="eastAsia" w:ascii="楷体" w:hAnsi="楷体" w:eastAsia="楷体" w:cs="楷体"/>
          <w:sz w:val="28"/>
          <w:szCs w:val="28"/>
          <w:lang w:eastAsia="zh-CN"/>
        </w:rPr>
        <w:drawing>
          <wp:inline distT="0" distB="0" distL="114300" distR="114300">
            <wp:extent cx="2758440" cy="4163695"/>
            <wp:effectExtent l="0" t="0" r="3810" b="8255"/>
            <wp:docPr id="4" name="图片 4" descr="微信图片_20181115094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81115094302"/>
                    <pic:cNvPicPr>
                      <a:picLocks noChangeAspect="1"/>
                    </pic:cNvPicPr>
                  </pic:nvPicPr>
                  <pic:blipFill>
                    <a:blip r:embed="rId6"/>
                    <a:stretch>
                      <a:fillRect/>
                    </a:stretch>
                  </pic:blipFill>
                  <pic:spPr>
                    <a:xfrm>
                      <a:off x="0" y="0"/>
                      <a:ext cx="2758440" cy="4163695"/>
                    </a:xfrm>
                    <a:prstGeom prst="rect">
                      <a:avLst/>
                    </a:prstGeom>
                  </pic:spPr>
                </pic:pic>
              </a:graphicData>
            </a:graphic>
          </wp:inline>
        </w:drawing>
      </w:r>
      <w:r>
        <w:rPr>
          <w:rFonts w:hint="eastAsia" w:ascii="楷体" w:hAnsi="楷体" w:eastAsia="楷体" w:cs="楷体"/>
          <w:sz w:val="28"/>
          <w:szCs w:val="28"/>
          <w:lang w:eastAsia="zh-CN"/>
        </w:rPr>
        <w:drawing>
          <wp:inline distT="0" distB="0" distL="114300" distR="114300">
            <wp:extent cx="3143885" cy="3143885"/>
            <wp:effectExtent l="0" t="0" r="18415" b="18415"/>
            <wp:docPr id="3" name="图片 3" descr="微信图片_201811150939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811150939101"/>
                    <pic:cNvPicPr>
                      <a:picLocks noChangeAspect="1"/>
                    </pic:cNvPicPr>
                  </pic:nvPicPr>
                  <pic:blipFill>
                    <a:blip r:embed="rId7"/>
                    <a:stretch>
                      <a:fillRect/>
                    </a:stretch>
                  </pic:blipFill>
                  <pic:spPr>
                    <a:xfrm>
                      <a:off x="0" y="0"/>
                      <a:ext cx="3143885" cy="3143885"/>
                    </a:xfrm>
                    <a:prstGeom prst="rect">
                      <a:avLst/>
                    </a:prstGeom>
                  </pic:spPr>
                </pic:pic>
              </a:graphicData>
            </a:graphic>
          </wp:inline>
        </w:drawing>
      </w:r>
    </w:p>
    <w:p>
      <w:pPr>
        <w:pStyle w:val="10"/>
      </w:pP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七、验收结论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莘县特佳钢管加工厂</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2018年</w:t>
      </w:r>
      <w:r>
        <w:rPr>
          <w:rFonts w:hint="eastAsia" w:ascii="楷体" w:hAnsi="楷体" w:eastAsia="楷体" w:cs="楷体"/>
          <w:sz w:val="28"/>
          <w:szCs w:val="28"/>
          <w:lang w:val="en-US" w:eastAsia="zh-CN"/>
        </w:rPr>
        <w:t>11</w:t>
      </w:r>
      <w:r>
        <w:rPr>
          <w:rFonts w:hint="eastAsia" w:ascii="楷体" w:hAnsi="楷体" w:eastAsia="楷体" w:cs="楷体"/>
          <w:sz w:val="28"/>
          <w:szCs w:val="28"/>
        </w:rPr>
        <w:t>月</w:t>
      </w:r>
      <w:r>
        <w:rPr>
          <w:rFonts w:hint="eastAsia" w:ascii="楷体" w:hAnsi="楷体" w:eastAsia="楷体" w:cs="楷体"/>
          <w:sz w:val="28"/>
          <w:szCs w:val="28"/>
          <w:lang w:val="en-US" w:eastAsia="zh-CN"/>
        </w:rPr>
        <w:t>13</w:t>
      </w:r>
      <w:bookmarkStart w:id="0" w:name="_GoBack"/>
      <w:bookmarkEnd w:id="0"/>
      <w:r>
        <w:rPr>
          <w:rFonts w:hint="eastAsia" w:ascii="楷体" w:hAnsi="楷体" w:eastAsia="楷体" w:cs="楷体"/>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B202D80"/>
    <w:multiLevelType w:val="singleLevel"/>
    <w:tmpl w:val="BB202D80"/>
    <w:lvl w:ilvl="0" w:tentative="0">
      <w:start w:val="2"/>
      <w:numFmt w:val="decimal"/>
      <w:suff w:val="nothing"/>
      <w:lvlText w:val="%1、"/>
      <w:lvlJc w:val="left"/>
    </w:lvl>
  </w:abstractNum>
  <w:abstractNum w:abstractNumId="1">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
    <w:nsid w:val="46AAAAD9"/>
    <w:multiLevelType w:val="singleLevel"/>
    <w:tmpl w:val="46AAAAD9"/>
    <w:lvl w:ilvl="0" w:tentative="0">
      <w:start w:val="1"/>
      <w:numFmt w:val="decimal"/>
      <w:suff w:val="nothing"/>
      <w:lvlText w:val="%1、"/>
      <w:lvlJc w:val="left"/>
    </w:lvl>
  </w:abstractNum>
  <w:abstractNum w:abstractNumId="3">
    <w:nsid w:val="5B0E1076"/>
    <w:multiLevelType w:val="singleLevel"/>
    <w:tmpl w:val="5B0E1076"/>
    <w:lvl w:ilvl="0" w:tentative="0">
      <w:start w:val="6"/>
      <w:numFmt w:val="chineseCounting"/>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2135602"/>
    <w:rsid w:val="04334B5D"/>
    <w:rsid w:val="04EE720B"/>
    <w:rsid w:val="080C1189"/>
    <w:rsid w:val="08516DB8"/>
    <w:rsid w:val="0B3710F6"/>
    <w:rsid w:val="1114739D"/>
    <w:rsid w:val="11C63CC0"/>
    <w:rsid w:val="11E60AC7"/>
    <w:rsid w:val="1887595F"/>
    <w:rsid w:val="188E2022"/>
    <w:rsid w:val="1A1158EF"/>
    <w:rsid w:val="1B5934FA"/>
    <w:rsid w:val="1EB23C92"/>
    <w:rsid w:val="27C90F26"/>
    <w:rsid w:val="2EA77F62"/>
    <w:rsid w:val="2F45678C"/>
    <w:rsid w:val="304D4A12"/>
    <w:rsid w:val="3398641F"/>
    <w:rsid w:val="3BA24A74"/>
    <w:rsid w:val="3C9D29D7"/>
    <w:rsid w:val="3E407687"/>
    <w:rsid w:val="3E5C226F"/>
    <w:rsid w:val="40516DBF"/>
    <w:rsid w:val="44B8689B"/>
    <w:rsid w:val="45141BEC"/>
    <w:rsid w:val="49387C4F"/>
    <w:rsid w:val="4F63461C"/>
    <w:rsid w:val="55424CCC"/>
    <w:rsid w:val="57974243"/>
    <w:rsid w:val="5C687BD7"/>
    <w:rsid w:val="5D0B3D4A"/>
    <w:rsid w:val="64D951B9"/>
    <w:rsid w:val="6C935275"/>
    <w:rsid w:val="6C9779C0"/>
    <w:rsid w:val="6F733717"/>
    <w:rsid w:val="74234EB6"/>
    <w:rsid w:val="747F6622"/>
    <w:rsid w:val="785C51E8"/>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7"/>
    <w:semiHidden/>
    <w:unhideWhenUsed/>
    <w:qFormat/>
    <w:uiPriority w:val="99"/>
    <w:rPr>
      <w:sz w:val="18"/>
      <w:szCs w:val="18"/>
    </w:rPr>
  </w:style>
  <w:style w:type="paragraph" w:styleId="5">
    <w:name w:val="footer"/>
    <w:basedOn w:val="1"/>
    <w:link w:val="12"/>
    <w:semiHidden/>
    <w:qFormat/>
    <w:uiPriority w:val="99"/>
    <w:pPr>
      <w:tabs>
        <w:tab w:val="center" w:pos="4153"/>
        <w:tab w:val="right" w:pos="8306"/>
      </w:tabs>
      <w:snapToGrid w:val="0"/>
      <w:jc w:val="left"/>
    </w:pPr>
    <w:rPr>
      <w:sz w:val="18"/>
      <w:szCs w:val="18"/>
    </w:rPr>
  </w:style>
  <w:style w:type="paragraph" w:styleId="6">
    <w:name w:val="header"/>
    <w:basedOn w:val="1"/>
    <w:link w:val="11"/>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li_正文"/>
    <w:basedOn w:val="1"/>
    <w:qFormat/>
    <w:uiPriority w:val="0"/>
    <w:pPr>
      <w:ind w:firstLine="200" w:firstLineChars="200"/>
      <w:jc w:val="left"/>
    </w:pPr>
    <w:rPr>
      <w:rFonts w:ascii="Calibri" w:hAnsi="Calibri"/>
      <w:sz w:val="28"/>
      <w:szCs w:val="28"/>
    </w:r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1">
    <w:name w:val="页眉 Char"/>
    <w:basedOn w:val="7"/>
    <w:link w:val="6"/>
    <w:semiHidden/>
    <w:qFormat/>
    <w:locked/>
    <w:uiPriority w:val="99"/>
    <w:rPr>
      <w:rFonts w:cs="Times New Roman"/>
      <w:sz w:val="18"/>
      <w:szCs w:val="18"/>
    </w:rPr>
  </w:style>
  <w:style w:type="character" w:customStyle="1" w:styleId="12">
    <w:name w:val="页脚 Char"/>
    <w:basedOn w:val="7"/>
    <w:link w:val="5"/>
    <w:semiHidden/>
    <w:qFormat/>
    <w:locked/>
    <w:uiPriority w:val="99"/>
    <w:rPr>
      <w:rFonts w:cs="Times New Roman"/>
      <w:sz w:val="18"/>
      <w:szCs w:val="18"/>
    </w:rPr>
  </w:style>
  <w:style w:type="paragraph" w:styleId="13">
    <w:name w:val="List Paragraph"/>
    <w:basedOn w:val="1"/>
    <w:qFormat/>
    <w:uiPriority w:val="99"/>
    <w:pPr>
      <w:ind w:firstLine="420" w:firstLineChars="200"/>
    </w:pPr>
  </w:style>
  <w:style w:type="character" w:customStyle="1" w:styleId="14">
    <w:name w:val="正1 Char"/>
    <w:link w:val="15"/>
    <w:qFormat/>
    <w:locked/>
    <w:uiPriority w:val="99"/>
    <w:rPr>
      <w:rFonts w:eastAsia="楷体_GB2312"/>
      <w:sz w:val="24"/>
    </w:rPr>
  </w:style>
  <w:style w:type="paragraph" w:customStyle="1" w:styleId="15">
    <w:name w:val="正1"/>
    <w:basedOn w:val="1"/>
    <w:link w:val="14"/>
    <w:qFormat/>
    <w:uiPriority w:val="99"/>
    <w:pPr>
      <w:spacing w:line="360" w:lineRule="auto"/>
      <w:ind w:firstLine="200" w:firstLineChars="200"/>
      <w:jc w:val="left"/>
    </w:pPr>
    <w:rPr>
      <w:rFonts w:ascii="Calibri" w:hAnsi="Calibri" w:eastAsia="楷体_GB2312"/>
      <w:kern w:val="0"/>
      <w:sz w:val="24"/>
    </w:rPr>
  </w:style>
  <w:style w:type="paragraph" w:customStyle="1" w:styleId="16">
    <w:name w:val="Char Char Char Char Char Char Char"/>
    <w:basedOn w:val="1"/>
    <w:qFormat/>
    <w:uiPriority w:val="99"/>
  </w:style>
  <w:style w:type="character" w:customStyle="1" w:styleId="17">
    <w:name w:val="批注框文本 Char"/>
    <w:basedOn w:val="7"/>
    <w:link w:val="4"/>
    <w:semiHidden/>
    <w:qFormat/>
    <w:uiPriority w:val="99"/>
    <w:rPr>
      <w:rFonts w:ascii="Times New Roman" w:hAnsi="Times New Roman"/>
      <w:kern w:val="2"/>
      <w:sz w:val="18"/>
      <w:szCs w:val="18"/>
    </w:rPr>
  </w:style>
  <w:style w:type="paragraph" w:customStyle="1" w:styleId="18">
    <w:name w:val="ZW正文"/>
    <w:basedOn w:val="1"/>
    <w:qFormat/>
    <w:uiPriority w:val="0"/>
    <w:pPr>
      <w:spacing w:line="500" w:lineRule="exact"/>
      <w:ind w:firstLine="48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5</TotalTime>
  <ScaleCrop>false</ScaleCrop>
  <LinksUpToDate>false</LinksUpToDate>
  <CharactersWithSpaces>2187</CharactersWithSpaces>
  <Application>WPS Office_10.1.0.7668_F1E327BC-269C-435d-A152-05C5408002CA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2018-11-15T01:47:43Z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