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 w:cs="Times New Roman"/>
          <w:b/>
          <w:color w:val="auto"/>
          <w:sz w:val="28"/>
          <w:szCs w:val="28"/>
        </w:rPr>
      </w:pPr>
      <w:r>
        <w:rPr>
          <w:rFonts w:hint="default" w:ascii="Times New Roman" w:hAnsi="Times New Roman" w:eastAsia="楷体" w:cs="Times New Roman"/>
          <w:b/>
          <w:color w:val="auto"/>
          <w:sz w:val="28"/>
          <w:szCs w:val="28"/>
          <w:lang w:val="en-US" w:eastAsia="zh-CN"/>
        </w:rPr>
        <w:t>东阿县瑞兴钢球有限公司年产500吨微型钢球项目竣工</w:t>
      </w:r>
      <w:r>
        <w:rPr>
          <w:rFonts w:hint="default" w:ascii="Times New Roman" w:hAnsi="Times New Roman" w:eastAsia="楷体" w:cs="Times New Roman"/>
          <w:b/>
          <w:color w:val="auto"/>
          <w:sz w:val="28"/>
          <w:szCs w:val="28"/>
        </w:rPr>
        <w:t>环境保护</w:t>
      </w:r>
    </w:p>
    <w:p>
      <w:pPr>
        <w:tabs>
          <w:tab w:val="left" w:pos="360"/>
        </w:tabs>
        <w:spacing w:line="360" w:lineRule="auto"/>
        <w:ind w:left="298" w:leftChars="142"/>
        <w:jc w:val="center"/>
        <w:rPr>
          <w:rFonts w:hint="default" w:ascii="Times New Roman" w:hAnsi="Times New Roman" w:eastAsia="楷体" w:cs="Times New Roman"/>
          <w:b/>
          <w:color w:val="auto"/>
          <w:sz w:val="30"/>
          <w:szCs w:val="30"/>
        </w:rPr>
      </w:pPr>
      <w:r>
        <w:rPr>
          <w:rFonts w:hint="default" w:ascii="Times New Roman" w:hAnsi="Times New Roman" w:eastAsia="楷体" w:cs="Times New Roman"/>
          <w:b/>
          <w:color w:val="auto"/>
          <w:sz w:val="28"/>
          <w:szCs w:val="28"/>
        </w:rPr>
        <w:t>验收现场检查及验收工作组验收意见</w:t>
      </w:r>
    </w:p>
    <w:p>
      <w:pPr>
        <w:tabs>
          <w:tab w:val="left" w:pos="360"/>
        </w:tabs>
        <w:spacing w:line="360" w:lineRule="auto"/>
        <w:ind w:left="298" w:leftChars="142"/>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28"/>
          <w:highlight w:val="none"/>
        </w:rPr>
        <w:t>2018年</w:t>
      </w:r>
      <w:r>
        <w:rPr>
          <w:rFonts w:hint="default" w:ascii="Times New Roman" w:hAnsi="Times New Roman" w:eastAsia="楷体" w:cs="Times New Roman"/>
          <w:color w:val="auto"/>
          <w:sz w:val="28"/>
          <w:szCs w:val="28"/>
          <w:highlight w:val="none"/>
          <w:lang w:val="en-US" w:eastAsia="zh-CN"/>
        </w:rPr>
        <w:t>11</w:t>
      </w:r>
      <w:r>
        <w:rPr>
          <w:rFonts w:hint="default" w:ascii="Times New Roman" w:hAnsi="Times New Roman" w:eastAsia="楷体" w:cs="Times New Roman"/>
          <w:color w:val="auto"/>
          <w:sz w:val="28"/>
          <w:szCs w:val="28"/>
          <w:highlight w:val="none"/>
        </w:rPr>
        <w:t>月</w:t>
      </w:r>
      <w:r>
        <w:rPr>
          <w:rFonts w:hint="default" w:ascii="Times New Roman" w:hAnsi="Times New Roman" w:eastAsia="楷体" w:cs="Times New Roman"/>
          <w:color w:val="auto"/>
          <w:sz w:val="28"/>
          <w:szCs w:val="28"/>
          <w:highlight w:val="none"/>
          <w:lang w:val="en-US" w:eastAsia="zh-CN"/>
        </w:rPr>
        <w:t>10</w:t>
      </w:r>
      <w:r>
        <w:rPr>
          <w:rFonts w:hint="default" w:ascii="Times New Roman" w:hAnsi="Times New Roman" w:eastAsia="楷体" w:cs="Times New Roman"/>
          <w:color w:val="auto"/>
          <w:sz w:val="28"/>
          <w:szCs w:val="28"/>
          <w:highlight w:val="none"/>
        </w:rPr>
        <w:t>日</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val="en-US" w:eastAsia="zh-CN"/>
        </w:rPr>
        <w:t>东阿县瑞兴钢球有限公司</w:t>
      </w:r>
      <w:r>
        <w:rPr>
          <w:rFonts w:hint="default" w:ascii="Times New Roman" w:hAnsi="Times New Roman" w:eastAsia="楷体" w:cs="Times New Roman"/>
          <w:color w:val="auto"/>
          <w:sz w:val="28"/>
          <w:szCs w:val="28"/>
          <w:highlight w:val="none"/>
        </w:rPr>
        <w:t>组织召开</w:t>
      </w:r>
      <w:r>
        <w:rPr>
          <w:rFonts w:hint="default" w:ascii="Times New Roman" w:hAnsi="Times New Roman" w:eastAsia="楷体" w:cs="Times New Roman"/>
          <w:color w:val="auto"/>
          <w:sz w:val="28"/>
          <w:szCs w:val="28"/>
          <w:highlight w:val="none"/>
          <w:lang w:val="en-US" w:eastAsia="zh-CN"/>
        </w:rPr>
        <w:t>年产500吨微型钢球项目</w:t>
      </w:r>
      <w:r>
        <w:rPr>
          <w:rFonts w:hint="default" w:ascii="Times New Roman" w:hAnsi="Times New Roman" w:eastAsia="楷体" w:cs="Times New Roman"/>
          <w:color w:val="auto"/>
          <w:sz w:val="28"/>
          <w:szCs w:val="28"/>
          <w:highlight w:val="none"/>
        </w:rPr>
        <w:t>竣</w:t>
      </w:r>
      <w:r>
        <w:rPr>
          <w:rFonts w:hint="default" w:ascii="Times New Roman" w:hAnsi="Times New Roman" w:eastAsia="楷体" w:cs="Times New Roman"/>
          <w:color w:val="auto"/>
          <w:sz w:val="28"/>
          <w:szCs w:val="28"/>
        </w:rPr>
        <w:t>工环境保护验收现场检查及验收及验收会。验收工作组由工程建设单位（</w:t>
      </w:r>
      <w:r>
        <w:rPr>
          <w:rFonts w:hint="default" w:ascii="Times New Roman" w:hAnsi="Times New Roman" w:eastAsia="楷体" w:cs="Times New Roman"/>
          <w:color w:val="auto"/>
          <w:sz w:val="28"/>
          <w:szCs w:val="28"/>
          <w:lang w:val="en-US" w:eastAsia="zh-CN"/>
        </w:rPr>
        <w:t>东阿县瑞兴钢球有限公司</w:t>
      </w:r>
      <w:r>
        <w:rPr>
          <w:rFonts w:hint="default" w:ascii="Times New Roman" w:hAnsi="Times New Roman" w:eastAsia="楷体" w:cs="Times New Roman"/>
          <w:color w:val="auto"/>
          <w:sz w:val="28"/>
          <w:szCs w:val="28"/>
        </w:rPr>
        <w:t>）、环评单位（</w:t>
      </w:r>
      <w:r>
        <w:rPr>
          <w:rFonts w:hint="default" w:ascii="Times New Roman" w:hAnsi="Times New Roman" w:eastAsia="楷体" w:cs="Times New Roman"/>
          <w:color w:val="auto"/>
          <w:sz w:val="28"/>
          <w:szCs w:val="28"/>
          <w:lang w:val="en-US" w:eastAsia="zh-CN"/>
        </w:rPr>
        <w:t>青岛洁瑞环保技术服务有限公司</w:t>
      </w:r>
      <w:r>
        <w:rPr>
          <w:rFonts w:hint="default" w:ascii="Times New Roman" w:hAnsi="Times New Roman" w:eastAsia="楷体" w:cs="Times New Roman"/>
          <w:color w:val="auto"/>
          <w:sz w:val="28"/>
          <w:szCs w:val="28"/>
        </w:rPr>
        <w:t>）、监测单位（</w:t>
      </w:r>
      <w:r>
        <w:rPr>
          <w:rFonts w:hint="default" w:ascii="Times New Roman" w:hAnsi="Times New Roman" w:eastAsia="楷体" w:cs="Times New Roman"/>
          <w:color w:val="auto"/>
          <w:sz w:val="28"/>
          <w:szCs w:val="28"/>
          <w:lang w:eastAsia="zh-CN"/>
        </w:rPr>
        <w:t>山东聊和环保科技有限公司</w:t>
      </w:r>
      <w:r>
        <w:rPr>
          <w:rFonts w:hint="default" w:ascii="Times New Roman" w:hAnsi="Times New Roman" w:eastAsia="楷体" w:cs="Times New Roman"/>
          <w:color w:val="auto"/>
          <w:sz w:val="28"/>
          <w:szCs w:val="28"/>
        </w:rPr>
        <w:t>）并特邀</w:t>
      </w:r>
      <w:r>
        <w:rPr>
          <w:rFonts w:hint="default" w:ascii="Times New Roman" w:hAnsi="Times New Roman" w:eastAsia="楷体" w:cs="Times New Roman"/>
          <w:color w:val="auto"/>
          <w:sz w:val="28"/>
          <w:szCs w:val="28"/>
          <w:lang w:val="en-US" w:eastAsia="zh-CN"/>
        </w:rPr>
        <w:t>2</w:t>
      </w:r>
      <w:r>
        <w:rPr>
          <w:rFonts w:hint="default" w:ascii="Times New Roman" w:hAnsi="Times New Roman" w:eastAsia="楷体"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项目建设地点</w:t>
      </w:r>
      <w:r>
        <w:rPr>
          <w:rFonts w:hint="default" w:ascii="Times New Roman" w:hAnsi="Times New Roman" w:eastAsia="楷体" w:cs="Times New Roman"/>
          <w:color w:val="auto"/>
          <w:sz w:val="28"/>
          <w:szCs w:val="28"/>
          <w:lang w:eastAsia="zh-CN"/>
        </w:rPr>
        <w:t>位于山东省聊城市东阿县大桥镇麻庄村东首路北（东阿东昌水泥有限公司西邻）</w:t>
      </w:r>
      <w:r>
        <w:rPr>
          <w:rFonts w:hint="default" w:ascii="Times New Roman" w:hAnsi="Times New Roman" w:eastAsia="楷体" w:cs="Times New Roman"/>
          <w:color w:val="auto"/>
          <w:sz w:val="28"/>
          <w:szCs w:val="28"/>
          <w:lang w:val="en-US" w:eastAsia="zh-CN"/>
        </w:rPr>
        <w:t>。项目</w:t>
      </w:r>
      <w:r>
        <w:rPr>
          <w:rFonts w:hint="default" w:ascii="Times New Roman" w:hAnsi="Times New Roman" w:eastAsia="楷体" w:cs="Times New Roman"/>
          <w:color w:val="auto"/>
          <w:sz w:val="28"/>
          <w:szCs w:val="28"/>
          <w:lang w:eastAsia="zh-CN"/>
        </w:rPr>
        <w:t>总投资</w:t>
      </w:r>
      <w:r>
        <w:rPr>
          <w:rFonts w:hint="default" w:ascii="Times New Roman" w:hAnsi="Times New Roman" w:eastAsia="楷体" w:cs="Times New Roman"/>
          <w:color w:val="auto"/>
          <w:sz w:val="28"/>
          <w:szCs w:val="28"/>
          <w:lang w:val="en-US" w:eastAsia="zh-CN"/>
        </w:rPr>
        <w:t>240万元，</w:t>
      </w:r>
      <w:r>
        <w:rPr>
          <w:rFonts w:hint="default" w:ascii="Times New Roman" w:hAnsi="Times New Roman" w:eastAsia="楷体" w:cs="Times New Roman"/>
          <w:color w:val="auto"/>
          <w:sz w:val="28"/>
          <w:szCs w:val="28"/>
        </w:rPr>
        <w:t>占地</w:t>
      </w:r>
      <w:r>
        <w:rPr>
          <w:rFonts w:hint="default" w:ascii="Times New Roman" w:hAnsi="Times New Roman" w:eastAsia="楷体" w:cs="Times New Roman"/>
          <w:color w:val="auto"/>
          <w:sz w:val="28"/>
          <w:szCs w:val="28"/>
          <w:lang w:eastAsia="zh-CN"/>
        </w:rPr>
        <w:t>面积</w:t>
      </w:r>
      <w:r>
        <w:rPr>
          <w:rFonts w:hint="default" w:ascii="Times New Roman" w:hAnsi="Times New Roman" w:eastAsia="楷体" w:cs="Times New Roman"/>
          <w:color w:val="auto"/>
          <w:sz w:val="28"/>
          <w:szCs w:val="28"/>
          <w:lang w:val="en-US" w:eastAsia="zh-CN"/>
        </w:rPr>
        <w:t>1900m</w:t>
      </w:r>
      <w:r>
        <w:rPr>
          <w:rFonts w:hint="default" w:ascii="Times New Roman" w:hAnsi="Times New Roman" w:eastAsia="楷体" w:cs="Times New Roman"/>
          <w:color w:val="auto"/>
          <w:sz w:val="28"/>
          <w:szCs w:val="28"/>
          <w:vertAlign w:val="superscript"/>
        </w:rPr>
        <w:t>2</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eastAsia="zh-CN"/>
        </w:rPr>
        <w:t>建设</w:t>
      </w:r>
      <w:r>
        <w:rPr>
          <w:rFonts w:hint="default" w:ascii="Times New Roman" w:hAnsi="Times New Roman" w:eastAsia="楷体" w:cs="Times New Roman"/>
          <w:color w:val="auto"/>
          <w:sz w:val="28"/>
          <w:szCs w:val="28"/>
          <w:lang w:val="en-US" w:eastAsia="zh-CN"/>
        </w:rPr>
        <w:t>年产500吨微型钢球项目，购置钢球选别机、车床及研球机等设备</w:t>
      </w:r>
      <w:r>
        <w:rPr>
          <w:rFonts w:hint="default" w:ascii="Times New Roman" w:hAnsi="Times New Roman" w:eastAsia="楷体" w:cs="Times New Roman"/>
          <w:color w:val="auto"/>
          <w:sz w:val="28"/>
          <w:szCs w:val="28"/>
          <w:lang w:eastAsia="zh-CN"/>
        </w:rPr>
        <w:t>及配套环保设施。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 w:cs="Times New Roman"/>
          <w:color w:val="auto"/>
          <w:sz w:val="28"/>
          <w:szCs w:val="28"/>
        </w:rPr>
        <w:t>建设性质为</w:t>
      </w:r>
      <w:r>
        <w:rPr>
          <w:rFonts w:hint="default" w:ascii="Times New Roman" w:hAnsi="Times New Roman" w:eastAsia="楷体" w:cs="Times New Roman"/>
          <w:color w:val="auto"/>
          <w:sz w:val="28"/>
          <w:szCs w:val="28"/>
          <w:lang w:val="en-US" w:eastAsia="zh-CN"/>
        </w:rPr>
        <w:t>新建</w:t>
      </w:r>
      <w:r>
        <w:rPr>
          <w:rFonts w:hint="default" w:ascii="Times New Roman" w:hAnsi="Times New Roman" w:eastAsia="楷体" w:cs="Times New Roman"/>
          <w:color w:val="auto"/>
          <w:sz w:val="28"/>
          <w:szCs w:val="28"/>
        </w:rPr>
        <w:t>，项目生产规模为：</w:t>
      </w:r>
      <w:r>
        <w:rPr>
          <w:rFonts w:hint="default" w:ascii="Times New Roman" w:hAnsi="Times New Roman" w:eastAsia="楷体" w:cs="Times New Roman"/>
          <w:color w:val="auto"/>
          <w:sz w:val="28"/>
          <w:szCs w:val="28"/>
          <w:lang w:val="en-US" w:eastAsia="zh-CN"/>
        </w:rPr>
        <w:t>年产500吨微型钢球</w:t>
      </w:r>
      <w:r>
        <w:rPr>
          <w:rFonts w:hint="eastAsia" w:eastAsia="楷体" w:cs="Times New Roman"/>
          <w:color w:val="auto"/>
          <w:sz w:val="28"/>
          <w:szCs w:val="28"/>
          <w:lang w:val="en-US" w:eastAsia="zh-CN"/>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（二）环保审批情况</w:t>
      </w:r>
    </w:p>
    <w:p>
      <w:pPr>
        <w:spacing w:line="360" w:lineRule="auto"/>
        <w:ind w:firstLine="560" w:firstLineChars="200"/>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2018年6月东阿县瑞兴钢球有限公司委托青岛洁瑞环保技术服务有限公司编制了《东阿县瑞兴钢球有限公司年产500吨微型钢球项目环境影响报告表》，2018年7月27日东阿县环境保护局以东环报告表[2018]86号对其进行了审批。2018年9月公司委托山东聊和环保科技有限公司进行该项目的环保验收监测工作，接受委托后山东聊和环保科技有限公司组织有关技术人员进行现场踏勘，依据监测技术规范制定了环保验收监测方案，并于2018年10月13日-14日对该企业进行了验收监测，并于2018年11月16日-17日对厂区有关污染源进行了补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项目实际总投资</w:t>
      </w:r>
      <w:r>
        <w:rPr>
          <w:rFonts w:hint="default" w:ascii="Times New Roman" w:hAnsi="Times New Roman" w:eastAsia="楷体" w:cs="Times New Roman"/>
          <w:color w:val="auto"/>
          <w:sz w:val="28"/>
          <w:szCs w:val="28"/>
          <w:lang w:val="en-US" w:eastAsia="zh-CN"/>
        </w:rPr>
        <w:t>240</w:t>
      </w:r>
      <w:r>
        <w:rPr>
          <w:rFonts w:hint="default" w:ascii="Times New Roman" w:hAnsi="Times New Roman" w:eastAsia="楷体" w:cs="Times New Roman"/>
          <w:color w:val="auto"/>
          <w:sz w:val="28"/>
          <w:szCs w:val="28"/>
        </w:rPr>
        <w:t>万元，其中环保投资</w:t>
      </w:r>
      <w:r>
        <w:rPr>
          <w:rFonts w:hint="default" w:ascii="Times New Roman" w:hAnsi="Times New Roman" w:eastAsia="楷体" w:cs="Times New Roman"/>
          <w:color w:val="auto"/>
          <w:sz w:val="28"/>
          <w:szCs w:val="28"/>
          <w:lang w:val="en-US" w:eastAsia="zh-CN"/>
        </w:rPr>
        <w:t>3</w:t>
      </w:r>
      <w:r>
        <w:rPr>
          <w:rFonts w:hint="default" w:ascii="Times New Roman" w:hAnsi="Times New Roman" w:eastAsia="楷体" w:cs="Times New Roman"/>
          <w:color w:val="auto"/>
          <w:sz w:val="28"/>
          <w:szCs w:val="28"/>
        </w:rPr>
        <w:t>万元。占总投资</w:t>
      </w:r>
      <w:r>
        <w:rPr>
          <w:rFonts w:hint="default" w:ascii="Times New Roman" w:hAnsi="Times New Roman" w:eastAsia="楷体" w:cs="Times New Roman"/>
          <w:color w:val="auto"/>
          <w:sz w:val="28"/>
          <w:szCs w:val="28"/>
          <w:lang w:val="en-US" w:eastAsia="zh-CN"/>
        </w:rPr>
        <w:t>1.25</w:t>
      </w:r>
      <w:r>
        <w:rPr>
          <w:rFonts w:hint="default" w:ascii="Times New Roman" w:hAnsi="Times New Roman" w:eastAsia="楷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本次验收的范围为</w:t>
      </w:r>
      <w:r>
        <w:rPr>
          <w:rFonts w:hint="default" w:ascii="Times New Roman" w:hAnsi="Times New Roman" w:eastAsia="楷体" w:cs="Times New Roman"/>
          <w:color w:val="auto"/>
          <w:sz w:val="28"/>
          <w:szCs w:val="28"/>
          <w:lang w:val="en-US" w:eastAsia="zh-CN"/>
        </w:rPr>
        <w:t>500吨微型钢球生产设备</w:t>
      </w:r>
      <w:r>
        <w:rPr>
          <w:rFonts w:hint="default" w:ascii="Times New Roman" w:hAnsi="Times New Roman" w:eastAsia="楷体"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二、工程变更情况</w:t>
      </w:r>
    </w:p>
    <w:p>
      <w:pPr>
        <w:spacing w:line="360" w:lineRule="auto"/>
        <w:ind w:firstLine="840" w:firstLineChars="3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通过现场调查，包装工序涂抹少量防锈油会挥发少量的非甲烷总烃，经车间通风后无组织排放。现场增加筛球机五台（属于辅助设备）；研球机比环评设计数量多三台，新增设备未影响综合产能。故本项目工程无重大变动。</w:t>
      </w:r>
    </w:p>
    <w:p>
      <w:pPr>
        <w:pStyle w:val="9"/>
        <w:numPr>
          <w:ilvl w:val="0"/>
          <w:numId w:val="1"/>
        </w:numPr>
        <w:spacing w:line="240" w:lineRule="auto"/>
        <w:ind w:firstLineChars="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环境保护设施落实情况</w:t>
      </w:r>
    </w:p>
    <w:p>
      <w:pPr>
        <w:pStyle w:val="9"/>
        <w:spacing w:beforeLines="50" w:line="240" w:lineRule="auto"/>
        <w:ind w:left="141" w:leftChars="67" w:firstLine="280" w:firstLineChars="1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本项目生产工艺中磨削液配置用水全部损耗故无生产废水产生。故本项目废水主要为职工生活污水，本项目生活污水收集后排入化粪池，定期清掏。</w:t>
      </w:r>
    </w:p>
    <w:p>
      <w:pPr>
        <w:widowControl/>
        <w:spacing w:line="360" w:lineRule="auto"/>
        <w:ind w:firstLine="420" w:firstLineChars="15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（二）废气污染源及其治理措施</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本项目包装时涂少量防锈油会产生少量有机废气，经车间通风后无组织排放</w:t>
      </w:r>
      <w:bookmarkStart w:id="0" w:name="_GoBack"/>
      <w:bookmarkEnd w:id="0"/>
      <w:r>
        <w:rPr>
          <w:rFonts w:hint="default" w:ascii="Times New Roman" w:hAnsi="Times New Roman" w:eastAsia="楷体" w:cs="Times New Roman"/>
          <w:snapToGrid w:val="0"/>
          <w:color w:val="auto"/>
          <w:kern w:val="0"/>
          <w:sz w:val="28"/>
          <w:szCs w:val="28"/>
          <w:lang w:val="en-US" w:eastAsia="zh-CN"/>
        </w:rPr>
        <w:t>。</w:t>
      </w:r>
    </w:p>
    <w:p>
      <w:pPr>
        <w:spacing w:line="360" w:lineRule="auto"/>
        <w:ind w:left="0" w:leftChars="0" w:firstLine="420" w:firstLineChars="15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 xml:space="preserve">本项目产生的噪声主要为钢球选别机、研球机等各类机械设备运行时产生的噪声。设备均放置在车间内，设备进行基础减震，并加强设备维护。采取一系列减振、隔声等降噪措施及距离衰减，确保最大程度的降低噪音。 </w:t>
      </w:r>
    </w:p>
    <w:p>
      <w:pPr>
        <w:spacing w:line="360" w:lineRule="auto"/>
        <w:ind w:firstLine="420" w:firstLineChars="150"/>
        <w:jc w:val="left"/>
        <w:rPr>
          <w:rFonts w:hint="default" w:ascii="Times New Roman" w:hAnsi="Times New Roman" w:eastAsia="楷体" w:cs="Times New Roman"/>
          <w:color w:val="auto"/>
          <w:sz w:val="28"/>
          <w:szCs w:val="28"/>
          <w:lang w:eastAsia="zh-CN"/>
        </w:rPr>
      </w:pPr>
      <w:r>
        <w:rPr>
          <w:rFonts w:hint="default" w:ascii="Times New Roman" w:hAnsi="Times New Roman" w:eastAsia="楷体" w:cs="Times New Roman"/>
          <w:color w:val="auto"/>
          <w:sz w:val="28"/>
          <w:szCs w:val="28"/>
        </w:rPr>
        <w:t>（四）固体废物</w:t>
      </w:r>
    </w:p>
    <w:p>
      <w:pPr>
        <w:pStyle w:val="2"/>
        <w:spacing w:line="360" w:lineRule="auto"/>
        <w:ind w:left="0" w:leftChars="0" w:firstLine="560" w:firstLineChars="200"/>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本项目固体废物主要包括研球过程产生的铁泥，选别工序产生的不合格产品，以及职工办公生活产生的生活垃圾。其中选别工序产生的不合格产品、研球工序产生的铁泥收集后全部外售物资公司；生活垃圾经收集后由环卫部门统一清运、无害化处置。</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山东聊和环保科技有限公司</w:t>
      </w:r>
      <w:r>
        <w:rPr>
          <w:rFonts w:hint="default" w:ascii="Times New Roman" w:hAnsi="Times New Roman" w:eastAsia="楷体" w:cs="Times New Roman"/>
          <w:color w:val="auto"/>
          <w:sz w:val="28"/>
          <w:szCs w:val="28"/>
        </w:rPr>
        <w:t>出具的</w:t>
      </w:r>
      <w:r>
        <w:rPr>
          <w:rFonts w:hint="default" w:ascii="Times New Roman" w:hAnsi="Times New Roman" w:eastAsia="楷体" w:cs="Times New Roman"/>
          <w:b w:val="0"/>
          <w:bCs w:val="0"/>
          <w:color w:val="auto"/>
          <w:sz w:val="28"/>
          <w:szCs w:val="28"/>
        </w:rPr>
        <w:t>《</w:t>
      </w:r>
      <w:r>
        <w:rPr>
          <w:rFonts w:hint="default" w:ascii="Times New Roman" w:hAnsi="Times New Roman" w:eastAsia="楷体" w:cs="Times New Roman"/>
          <w:b w:val="0"/>
          <w:bCs w:val="0"/>
          <w:color w:val="auto"/>
          <w:sz w:val="28"/>
          <w:szCs w:val="28"/>
          <w:lang w:val="en-US" w:eastAsia="zh-CN"/>
        </w:rPr>
        <w:t>东阿县瑞兴钢球有限公司年产500吨微型钢球项目</w:t>
      </w:r>
      <w:r>
        <w:rPr>
          <w:rFonts w:hint="default" w:ascii="Times New Roman" w:hAnsi="Times New Roman" w:eastAsia="楷体" w:cs="Times New Roman"/>
          <w:color w:val="auto"/>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废水</w:t>
      </w:r>
    </w:p>
    <w:p>
      <w:pPr>
        <w:ind w:firstLine="560" w:firstLineChars="200"/>
        <w:rPr>
          <w:rFonts w:hint="default" w:ascii="Times New Roman" w:hAnsi="Times New Roman" w:eastAsia="楷体" w:cs="Times New Roman"/>
          <w:b w:val="0"/>
          <w:bCs w:val="0"/>
          <w:color w:val="auto"/>
          <w:sz w:val="28"/>
          <w:szCs w:val="28"/>
          <w:lang w:val="en-US" w:eastAsia="zh-CN"/>
        </w:rPr>
      </w:pPr>
      <w:r>
        <w:rPr>
          <w:rFonts w:hint="default" w:ascii="Times New Roman" w:hAnsi="Times New Roman" w:eastAsia="楷体" w:cs="Times New Roman"/>
          <w:color w:val="auto"/>
          <w:sz w:val="28"/>
          <w:szCs w:val="28"/>
          <w:lang w:val="en-US" w:eastAsia="zh-CN"/>
        </w:rPr>
        <w:t>本项目生产工艺中磨削液配置用水全部损耗故无生产废水产生。生活污水收集后排入化粪池，定期清掏。建设方做好废水产生区及化粪池防渗处理。</w:t>
      </w:r>
    </w:p>
    <w:p>
      <w:pPr>
        <w:numPr>
          <w:ilvl w:val="0"/>
          <w:numId w:val="3"/>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废气</w:t>
      </w:r>
    </w:p>
    <w:p>
      <w:pPr>
        <w:spacing w:line="360" w:lineRule="auto"/>
        <w:ind w:firstLine="560" w:firstLineChars="200"/>
        <w:rPr>
          <w:rFonts w:hint="default" w:ascii="Times New Roman" w:hAnsi="Times New Roman" w:eastAsia="楷体" w:cs="Times New Roman"/>
          <w:color w:val="auto"/>
          <w:kern w:val="2"/>
          <w:sz w:val="24"/>
          <w:szCs w:val="24"/>
          <w:lang w:val="en-US" w:eastAsia="zh-CN" w:bidi="ar-SA"/>
        </w:rPr>
      </w:pPr>
      <w:r>
        <w:rPr>
          <w:rFonts w:hint="default" w:ascii="Times New Roman" w:hAnsi="Times New Roman" w:eastAsia="楷体" w:cs="Times New Roman"/>
          <w:color w:val="auto"/>
          <w:sz w:val="28"/>
          <w:szCs w:val="28"/>
          <w:lang w:val="en-US" w:eastAsia="zh-CN"/>
        </w:rPr>
        <w:t>验收监测期间，无组织非甲烷总烃小时浓度最高为0.47mg/m</w:t>
      </w:r>
      <w:r>
        <w:rPr>
          <w:rFonts w:hint="default" w:ascii="Times New Roman" w:hAnsi="Times New Roman" w:eastAsia="楷体" w:cs="Times New Roman"/>
          <w:color w:val="auto"/>
          <w:sz w:val="28"/>
          <w:szCs w:val="28"/>
          <w:vertAlign w:val="superscript"/>
          <w:lang w:val="en-US" w:eastAsia="zh-CN"/>
        </w:rPr>
        <w:t>3</w:t>
      </w:r>
      <w:r>
        <w:rPr>
          <w:rFonts w:hint="default" w:ascii="Times New Roman" w:hAnsi="Times New Roman" w:eastAsia="楷体" w:cs="Times New Roman"/>
          <w:color w:val="auto"/>
          <w:sz w:val="28"/>
          <w:szCs w:val="28"/>
          <w:lang w:val="en-US" w:eastAsia="zh-CN"/>
        </w:rPr>
        <w:t>，满足《大气污染物综合排放标准》（GB16297-1996）表2中的相应的无组织排放监控浓度限制要求。</w:t>
      </w:r>
    </w:p>
    <w:p>
      <w:p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3</w:t>
      </w:r>
      <w:r>
        <w:rPr>
          <w:rFonts w:hint="default" w:ascii="Times New Roman" w:hAnsi="Times New Roman" w:eastAsia="楷体" w:cs="Times New Roman"/>
          <w:color w:val="auto"/>
          <w:sz w:val="28"/>
          <w:szCs w:val="28"/>
        </w:rPr>
        <w:t>. 噪声</w:t>
      </w:r>
    </w:p>
    <w:p>
      <w:pPr>
        <w:spacing w:beforeLines="50"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验收监测期间，监测点位昼间噪声在55.5dB(A)-56.4dB(A)之间，符合《工业企业厂界环境噪声排放标准》（GB12348-2008）中的2类标准限值</w:t>
      </w:r>
      <w:r>
        <w:rPr>
          <w:rFonts w:hint="default" w:ascii="Times New Roman" w:hAnsi="Times New Roman" w:eastAsia="楷体" w:cs="Times New Roman"/>
          <w:color w:val="auto"/>
          <w:sz w:val="28"/>
          <w:szCs w:val="28"/>
          <w:lang w:eastAsia="zh-CN"/>
        </w:rPr>
        <w:t>。</w:t>
      </w:r>
    </w:p>
    <w:p>
      <w:pPr>
        <w:numPr>
          <w:ilvl w:val="0"/>
          <w:numId w:val="4"/>
        </w:numPr>
        <w:spacing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固体废物</w:t>
      </w:r>
    </w:p>
    <w:p>
      <w:pPr>
        <w:spacing w:beforeLines="50"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本项目固体废物主要包括研球过程产生的铁泥，选别工序产生的不合格产品，以及职工办公生活产生的生活垃圾。其中选别工序产生的不合格产品、研球工序产生的铁泥收集后全部外售物资公司；生活垃圾经收集后由环卫部门统一清运、无害化处置。</w:t>
      </w:r>
    </w:p>
    <w:p>
      <w:pPr>
        <w:spacing w:beforeLines="50" w:line="360" w:lineRule="auto"/>
        <w:ind w:firstLine="280" w:firstLineChars="1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（二）环境管理调查</w:t>
      </w:r>
    </w:p>
    <w:p>
      <w:pPr>
        <w:spacing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36"/>
          <w:lang w:eastAsia="zh-CN"/>
        </w:rPr>
        <w:t>东阿县瑞兴钢球有限公司</w:t>
      </w:r>
      <w:r>
        <w:rPr>
          <w:rFonts w:hint="default" w:ascii="Times New Roman" w:hAnsi="Times New Roman" w:eastAsia="楷体" w:cs="Times New Roman"/>
          <w:color w:val="auto"/>
          <w:sz w:val="28"/>
          <w:szCs w:val="28"/>
        </w:rPr>
        <w:t>制定了《</w:t>
      </w:r>
      <w:r>
        <w:rPr>
          <w:rFonts w:hint="default" w:ascii="Times New Roman" w:hAnsi="Times New Roman" w:eastAsia="楷体" w:cs="Times New Roman"/>
          <w:color w:val="auto"/>
          <w:sz w:val="28"/>
          <w:szCs w:val="36"/>
          <w:lang w:eastAsia="zh-CN"/>
        </w:rPr>
        <w:t>东阿县瑞兴钢球有限公司</w:t>
      </w:r>
      <w:r>
        <w:rPr>
          <w:rFonts w:hint="default" w:ascii="Times New Roman" w:hAnsi="Times New Roman" w:eastAsia="楷体" w:cs="Times New Roman"/>
          <w:color w:val="auto"/>
          <w:sz w:val="28"/>
          <w:szCs w:val="28"/>
        </w:rPr>
        <w:t>环保管理制度》</w:t>
      </w:r>
      <w:r>
        <w:rPr>
          <w:rFonts w:hint="default" w:ascii="Times New Roman" w:hAnsi="Times New Roman" w:eastAsia="楷体" w:cs="Times New Roman"/>
          <w:color w:val="auto"/>
          <w:sz w:val="28"/>
          <w:szCs w:val="28"/>
          <w:lang w:eastAsia="zh-CN"/>
        </w:rPr>
        <w:t>，</w:t>
      </w:r>
      <w:r>
        <w:rPr>
          <w:rFonts w:hint="default" w:ascii="Times New Roman" w:hAnsi="Times New Roman" w:eastAsia="楷体" w:cs="Times New Roman"/>
          <w:color w:val="auto"/>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五、专家意见：</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规范存放原材料、产品及下脚料，保持厂区卫生。</w:t>
      </w:r>
    </w:p>
    <w:p>
      <w:pPr>
        <w:pStyle w:val="5"/>
        <w:numPr>
          <w:ilvl w:val="0"/>
          <w:numId w:val="5"/>
        </w:numPr>
        <w:ind w:left="560" w:leftChars="0" w:firstLine="0" w:firstLineChars="0"/>
        <w:rPr>
          <w:rFonts w:hint="default" w:ascii="Times New Roman" w:hAnsi="Times New Roman" w:eastAsia="楷体" w:cs="Times New Roman"/>
          <w:color w:val="auto"/>
          <w:sz w:val="28"/>
          <w:szCs w:val="28"/>
          <w:lang w:val="en-US" w:eastAsia="zh-CN"/>
        </w:rPr>
      </w:pPr>
      <w:r>
        <w:rPr>
          <w:rFonts w:hint="eastAsia" w:ascii="Times New Roman" w:hAnsi="Times New Roman" w:eastAsia="楷体_GB2312" w:cs="Times New Roman"/>
          <w:sz w:val="28"/>
          <w:szCs w:val="28"/>
          <w:lang w:val="en-US" w:eastAsia="zh-CN"/>
        </w:rPr>
        <w:t>进一步核实并完善有关检测数据，规范验收报告有关编制内容。</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六</w:t>
      </w:r>
      <w:r>
        <w:rPr>
          <w:rFonts w:hint="default" w:ascii="Times New Roman" w:hAnsi="Times New Roman" w:eastAsia="楷体" w:cs="Times New Roman"/>
          <w:color w:val="auto"/>
          <w:sz w:val="28"/>
          <w:szCs w:val="28"/>
        </w:rPr>
        <w:t>、验收结论</w:t>
      </w:r>
    </w:p>
    <w:p>
      <w:pPr>
        <w:spacing w:line="360" w:lineRule="auto"/>
        <w:ind w:firstLine="555"/>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36"/>
          <w:lang w:eastAsia="zh-CN"/>
        </w:rPr>
        <w:t>东阿县瑞兴钢球有限公司</w:t>
      </w:r>
      <w:r>
        <w:rPr>
          <w:rFonts w:hint="default" w:ascii="Times New Roman" w:hAnsi="Times New Roman" w:eastAsia="楷体" w:cs="Times New Roman"/>
          <w:color w:val="auto"/>
          <w:sz w:val="28"/>
          <w:szCs w:val="28"/>
        </w:rPr>
        <w:t>验收组</w:t>
      </w:r>
    </w:p>
    <w:p>
      <w:pPr>
        <w:spacing w:line="360" w:lineRule="auto"/>
        <w:jc w:val="right"/>
        <w:rPr>
          <w:rFonts w:hint="default" w:ascii="Times New Roman" w:hAnsi="Times New Roman" w:eastAsia="楷体" w:cs="Times New Roman"/>
          <w:color w:val="auto"/>
          <w:lang w:eastAsia="zh-CN"/>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28"/>
          <w:highlight w:val="none"/>
        </w:rPr>
        <w:t xml:space="preserve">    2018年</w:t>
      </w:r>
      <w:r>
        <w:rPr>
          <w:rFonts w:hint="default" w:ascii="Times New Roman" w:hAnsi="Times New Roman" w:eastAsia="楷体" w:cs="Times New Roman"/>
          <w:color w:val="auto"/>
          <w:sz w:val="28"/>
          <w:szCs w:val="28"/>
          <w:highlight w:val="none"/>
          <w:lang w:val="en-US" w:eastAsia="zh-CN"/>
        </w:rPr>
        <w:t>11</w:t>
      </w:r>
      <w:r>
        <w:rPr>
          <w:rFonts w:hint="default" w:ascii="Times New Roman" w:hAnsi="Times New Roman" w:eastAsia="楷体" w:cs="Times New Roman"/>
          <w:color w:val="auto"/>
          <w:sz w:val="28"/>
          <w:szCs w:val="28"/>
          <w:highlight w:val="none"/>
        </w:rPr>
        <w:t>月</w:t>
      </w:r>
      <w:r>
        <w:rPr>
          <w:rFonts w:hint="default" w:ascii="Times New Roman" w:hAnsi="Times New Roman" w:eastAsia="楷体" w:cs="Times New Roman"/>
          <w:color w:val="auto"/>
          <w:sz w:val="28"/>
          <w:szCs w:val="28"/>
          <w:highlight w:val="none"/>
          <w:lang w:val="en-US" w:eastAsia="zh-CN"/>
        </w:rPr>
        <w:t>2</w:t>
      </w:r>
      <w:r>
        <w:rPr>
          <w:rFonts w:hint="eastAsia" w:eastAsia="楷体" w:cs="Times New Roman"/>
          <w:color w:val="auto"/>
          <w:sz w:val="28"/>
          <w:szCs w:val="28"/>
          <w:highlight w:val="none"/>
          <w:lang w:val="en-US" w:eastAsia="zh-CN"/>
        </w:rPr>
        <w:t>6</w:t>
      </w:r>
      <w:r>
        <w:rPr>
          <w:rFonts w:hint="default" w:ascii="Times New Roman" w:hAnsi="Times New Roman" w:eastAsia="楷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ms Rmn">
    <w:altName w:val="Times New Roman"/>
    <w:panose1 w:val="02020603040505020304"/>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A775B6C"/>
    <w:rsid w:val="0BB105F9"/>
    <w:rsid w:val="0BCD78E3"/>
    <w:rsid w:val="0BD4352F"/>
    <w:rsid w:val="0E247761"/>
    <w:rsid w:val="110D6D4E"/>
    <w:rsid w:val="13242E95"/>
    <w:rsid w:val="13C97717"/>
    <w:rsid w:val="16D20B22"/>
    <w:rsid w:val="18D05E89"/>
    <w:rsid w:val="19BD6A9B"/>
    <w:rsid w:val="1A437988"/>
    <w:rsid w:val="1AAF6CA7"/>
    <w:rsid w:val="26B564F3"/>
    <w:rsid w:val="27420539"/>
    <w:rsid w:val="27B2514D"/>
    <w:rsid w:val="286B6E9D"/>
    <w:rsid w:val="2BFB35B9"/>
    <w:rsid w:val="2DA72355"/>
    <w:rsid w:val="31572BC2"/>
    <w:rsid w:val="39D31BFF"/>
    <w:rsid w:val="39D9507A"/>
    <w:rsid w:val="3B2962D5"/>
    <w:rsid w:val="3C614E95"/>
    <w:rsid w:val="3E1B7C8C"/>
    <w:rsid w:val="42D02360"/>
    <w:rsid w:val="440B2C50"/>
    <w:rsid w:val="45B12AB5"/>
    <w:rsid w:val="45EC4532"/>
    <w:rsid w:val="47A63EE7"/>
    <w:rsid w:val="516D3DB9"/>
    <w:rsid w:val="52082039"/>
    <w:rsid w:val="520B1012"/>
    <w:rsid w:val="54CA0A80"/>
    <w:rsid w:val="5583397B"/>
    <w:rsid w:val="56DD1623"/>
    <w:rsid w:val="5AD31733"/>
    <w:rsid w:val="5DAD62F9"/>
    <w:rsid w:val="5F0C4CFF"/>
    <w:rsid w:val="65826A80"/>
    <w:rsid w:val="66FB5067"/>
    <w:rsid w:val="6A4209DB"/>
    <w:rsid w:val="6AB12CAA"/>
    <w:rsid w:val="6ABA50EB"/>
    <w:rsid w:val="6DEB0CC4"/>
    <w:rsid w:val="6E620EC2"/>
    <w:rsid w:val="727A7703"/>
    <w:rsid w:val="738762E3"/>
    <w:rsid w:val="77930543"/>
    <w:rsid w:val="7E121CF0"/>
    <w:rsid w:val="7FE00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2018-11-26T01:58:03Z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