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聊城市汇力塑料编织有限公司年产100万条塑料编织袋项目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24</w:t>
      </w:r>
      <w:r>
        <w:rPr>
          <w:rFonts w:hint="eastAsia" w:ascii="楷体" w:hAnsi="楷体" w:eastAsia="楷体" w:cs="楷体"/>
          <w:sz w:val="28"/>
          <w:szCs w:val="28"/>
        </w:rPr>
        <w:t>日，</w:t>
      </w:r>
      <w:r>
        <w:rPr>
          <w:rFonts w:hint="eastAsia" w:ascii="楷体" w:hAnsi="楷体" w:eastAsia="楷体" w:cs="楷体"/>
          <w:sz w:val="28"/>
          <w:szCs w:val="28"/>
          <w:lang w:eastAsia="zh-CN"/>
        </w:rPr>
        <w:t>聊城市汇力塑料编织有限公司</w:t>
      </w:r>
      <w:r>
        <w:rPr>
          <w:rFonts w:hint="eastAsia" w:ascii="楷体" w:hAnsi="楷体" w:eastAsia="楷体" w:cs="楷体"/>
          <w:sz w:val="28"/>
          <w:szCs w:val="28"/>
        </w:rPr>
        <w:t>组织召开公司</w:t>
      </w:r>
      <w:r>
        <w:rPr>
          <w:rFonts w:hint="eastAsia" w:ascii="楷体" w:hAnsi="楷体" w:eastAsia="楷体" w:cs="楷体"/>
          <w:sz w:val="28"/>
          <w:szCs w:val="28"/>
          <w:lang w:eastAsia="zh-CN"/>
        </w:rPr>
        <w:t>年产100万条塑料编织袋项目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聊城市汇力塑料编织有限公司</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w:t>
      </w:r>
      <w:r>
        <w:rPr>
          <w:rFonts w:hint="eastAsia" w:ascii="楷体" w:hAnsi="楷体" w:eastAsia="楷体" w:cs="楷体"/>
          <w:sz w:val="28"/>
          <w:szCs w:val="28"/>
          <w:lang w:eastAsia="zh-CN"/>
        </w:rPr>
        <w:t>、环评单位（安徽华境资环科技有限公司）</w:t>
      </w:r>
      <w:r>
        <w:rPr>
          <w:rFonts w:hint="eastAsia" w:ascii="楷体" w:hAnsi="楷体" w:eastAsia="楷体" w:cs="楷体"/>
          <w:sz w:val="28"/>
          <w:szCs w:val="28"/>
        </w:rPr>
        <w:t>并特邀</w:t>
      </w:r>
      <w:r>
        <w:rPr>
          <w:rFonts w:hint="eastAsia" w:ascii="楷体" w:hAnsi="楷体" w:eastAsia="楷体" w:cs="楷体"/>
          <w:sz w:val="28"/>
          <w:szCs w:val="28"/>
          <w:lang w:val="en-US" w:eastAsia="zh-CN"/>
        </w:rPr>
        <w:t>2</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hint="eastAsia"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聊城市东阿县刘集镇四合屯村西1公里。</w:t>
      </w:r>
      <w:r>
        <w:rPr>
          <w:rFonts w:hint="eastAsia" w:ascii="楷体" w:hAnsi="楷体" w:eastAsia="楷体" w:cs="楷体"/>
          <w:sz w:val="28"/>
          <w:szCs w:val="28"/>
        </w:rPr>
        <w:t>主要为</w:t>
      </w:r>
      <w:r>
        <w:rPr>
          <w:rFonts w:hint="eastAsia" w:ascii="楷体" w:hAnsi="楷体" w:eastAsia="楷体" w:cs="楷体"/>
          <w:sz w:val="28"/>
          <w:szCs w:val="28"/>
          <w:lang w:eastAsia="zh-CN"/>
        </w:rPr>
        <w:t>年产100万条塑料编织袋项目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150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6700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拉丝机、印刷机、切割机、缝纫机、圆织机</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本项目为新建项目，201</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11</w:t>
      </w:r>
      <w:r>
        <w:rPr>
          <w:rFonts w:hint="eastAsia" w:ascii="楷体" w:hAnsi="楷体" w:eastAsia="楷体" w:cs="楷体"/>
          <w:sz w:val="28"/>
          <w:szCs w:val="28"/>
          <w:lang w:eastAsia="zh-CN"/>
        </w:rPr>
        <w:t>月聊城市汇力塑料编织有限公司委托安徽华境资环科技有限公司编制了《聊城市汇力塑料编织有限公司年产100万条塑料编织袋项目环境影响报告表》，201</w:t>
      </w:r>
      <w:r>
        <w:rPr>
          <w:rFonts w:hint="eastAsia" w:ascii="楷体" w:hAnsi="楷体" w:eastAsia="楷体" w:cs="楷体"/>
          <w:sz w:val="28"/>
          <w:szCs w:val="28"/>
          <w:lang w:val="en-US" w:eastAsia="zh-CN"/>
        </w:rPr>
        <w:t>8</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1</w:t>
      </w:r>
      <w:r>
        <w:rPr>
          <w:rFonts w:hint="eastAsia" w:ascii="楷体" w:hAnsi="楷体" w:eastAsia="楷体" w:cs="楷体"/>
          <w:sz w:val="28"/>
          <w:szCs w:val="28"/>
          <w:lang w:eastAsia="zh-CN"/>
        </w:rPr>
        <w:t>月</w:t>
      </w:r>
      <w:r>
        <w:rPr>
          <w:rFonts w:hint="eastAsia" w:ascii="楷体" w:hAnsi="楷体" w:eastAsia="楷体" w:cs="楷体"/>
          <w:sz w:val="28"/>
          <w:szCs w:val="28"/>
          <w:lang w:val="en-US" w:eastAsia="zh-CN"/>
        </w:rPr>
        <w:t>17</w:t>
      </w:r>
      <w:r>
        <w:rPr>
          <w:rFonts w:hint="eastAsia" w:ascii="楷体" w:hAnsi="楷体" w:eastAsia="楷体" w:cs="楷体"/>
          <w:sz w:val="28"/>
          <w:szCs w:val="28"/>
          <w:lang w:eastAsia="zh-CN"/>
        </w:rPr>
        <w:t>日东阿县环境保护局以东环报告表[2018]11号对其进行了审批。2018年</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月份公司委托山东聊和环保科技有限公司进行该项目的环保验收监测工作，接受委托后山东聊和环保科技有限公司组织有关技术人员进行现场踏勘，依据监测技术规范制定了环保验收监测方案，并于2018年</w:t>
      </w:r>
      <w:r>
        <w:rPr>
          <w:rFonts w:hint="eastAsia" w:ascii="楷体" w:hAnsi="楷体" w:eastAsia="楷体" w:cs="楷体"/>
          <w:sz w:val="28"/>
          <w:szCs w:val="28"/>
          <w:lang w:val="en-US" w:eastAsia="zh-CN"/>
        </w:rPr>
        <w:t>8月3日-4日</w:t>
      </w:r>
      <w:r>
        <w:rPr>
          <w:rFonts w:hint="eastAsia" w:ascii="楷体" w:hAnsi="楷体" w:eastAsia="楷体" w:cs="楷体"/>
          <w:sz w:val="28"/>
          <w:szCs w:val="28"/>
          <w:lang w:eastAsia="zh-CN"/>
        </w:rPr>
        <w:t>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150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25</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16.7</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年产100万条塑料编织袋项目</w:t>
      </w:r>
      <w:r>
        <w:rPr>
          <w:rFonts w:hint="eastAsia" w:ascii="楷体" w:hAnsi="楷体" w:eastAsia="楷体" w:cs="楷体"/>
          <w:sz w:val="28"/>
          <w:szCs w:val="28"/>
        </w:rPr>
        <w:t>及其配套环保设施。</w:t>
      </w:r>
    </w:p>
    <w:p>
      <w:pPr>
        <w:numPr>
          <w:ilvl w:val="0"/>
          <w:numId w:val="1"/>
        </w:num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numPr>
          <w:ilvl w:val="0"/>
          <w:numId w:val="1"/>
        </w:num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5"/>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autoSpaceDE w:val="0"/>
        <w:autoSpaceDN w:val="0"/>
        <w:adjustRightInd w:val="0"/>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本项目无生产废水产生。废水主要为生活污水。生活污水</w:t>
      </w:r>
      <w:r>
        <w:rPr>
          <w:rFonts w:hint="default" w:ascii="楷体" w:hAnsi="楷体" w:eastAsia="楷体" w:cs="楷体"/>
          <w:kern w:val="2"/>
          <w:sz w:val="28"/>
          <w:szCs w:val="28"/>
          <w:lang w:val="en-US" w:eastAsia="zh-CN" w:bidi="ar-SA"/>
        </w:rPr>
        <w:t>经</w:t>
      </w:r>
      <w:r>
        <w:rPr>
          <w:rFonts w:hint="eastAsia" w:ascii="楷体" w:hAnsi="楷体" w:eastAsia="楷体" w:cs="楷体"/>
          <w:kern w:val="2"/>
          <w:sz w:val="28"/>
          <w:szCs w:val="28"/>
          <w:lang w:val="en-US" w:eastAsia="zh-CN" w:bidi="ar-SA"/>
        </w:rPr>
        <w:t>沉淀池收集</w:t>
      </w:r>
      <w:r>
        <w:rPr>
          <w:rFonts w:hint="default" w:ascii="楷体" w:hAnsi="楷体" w:eastAsia="楷体" w:cs="楷体"/>
          <w:kern w:val="2"/>
          <w:sz w:val="28"/>
          <w:szCs w:val="28"/>
          <w:lang w:val="en-US" w:eastAsia="zh-CN" w:bidi="ar-SA"/>
        </w:rPr>
        <w:t>后</w:t>
      </w:r>
      <w:r>
        <w:rPr>
          <w:rFonts w:hint="eastAsia" w:ascii="楷体" w:hAnsi="楷体" w:eastAsia="楷体" w:cs="楷体"/>
          <w:kern w:val="2"/>
          <w:sz w:val="28"/>
          <w:szCs w:val="28"/>
          <w:lang w:val="en-US" w:eastAsia="zh-CN" w:bidi="ar-SA"/>
        </w:rPr>
        <w:t>用于厂区绿化和洒水抑尘</w:t>
      </w:r>
      <w:r>
        <w:rPr>
          <w:rFonts w:hint="default" w:ascii="楷体" w:hAnsi="楷体" w:eastAsia="楷体" w:cs="楷体"/>
          <w:kern w:val="2"/>
          <w:sz w:val="28"/>
          <w:szCs w:val="28"/>
          <w:lang w:val="en-US" w:eastAsia="zh-CN" w:bidi="ar-SA"/>
        </w:rPr>
        <w:t>，</w:t>
      </w:r>
      <w:r>
        <w:rPr>
          <w:rFonts w:hint="eastAsia" w:ascii="楷体" w:hAnsi="楷体" w:eastAsia="楷体" w:cs="楷体"/>
          <w:kern w:val="2"/>
          <w:sz w:val="28"/>
          <w:szCs w:val="28"/>
          <w:lang w:val="en-US" w:eastAsia="zh-CN" w:bidi="ar-SA"/>
        </w:rPr>
        <w:t>不外排</w:t>
      </w:r>
      <w:r>
        <w:rPr>
          <w:rFonts w:hint="default" w:ascii="楷体" w:hAnsi="楷体" w:eastAsia="楷体" w:cs="楷体"/>
          <w:kern w:val="2"/>
          <w:sz w:val="28"/>
          <w:szCs w:val="28"/>
          <w:lang w:val="en-US" w:eastAsia="zh-CN" w:bidi="ar-SA"/>
        </w:rPr>
        <w:t>。</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autoSpaceDE w:val="0"/>
        <w:autoSpaceDN w:val="0"/>
        <w:adjustRightInd w:val="0"/>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本项目的大气污染主要来源于拉丝过程、吹膜及热切割中产生的有机废气，印刷过程产生的挥发性有机废气。</w:t>
      </w:r>
    </w:p>
    <w:p>
      <w:pPr>
        <w:autoSpaceDE w:val="0"/>
        <w:autoSpaceDN w:val="0"/>
        <w:adjustRightInd w:val="0"/>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原料加热融化时、吹膜工序及热切割时会产生的少量有机废气（塑料异味），经集气罩收集，采用UV光氧等离子一体机处理后，通过15m排气筒排放。印刷过程产生的有机废气通过集气罩收集，采用UV光氧等离子一体机处理后，通过15m排气筒排放。</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autoSpaceDE w:val="0"/>
        <w:autoSpaceDN w:val="0"/>
        <w:adjustRightInd w:val="0"/>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本项目噪声主要为</w:t>
      </w:r>
      <w:r>
        <w:rPr>
          <w:rFonts w:hint="eastAsia" w:ascii="楷体" w:hAnsi="楷体" w:eastAsia="楷体" w:cs="楷体"/>
          <w:sz w:val="28"/>
          <w:szCs w:val="28"/>
          <w:lang w:eastAsia="zh-CN"/>
        </w:rPr>
        <w:t>拉丝机、印刷机、切割机、缝纫机、圆织机</w:t>
      </w:r>
      <w:r>
        <w:rPr>
          <w:rFonts w:hint="eastAsia" w:ascii="楷体" w:hAnsi="楷体" w:eastAsia="楷体" w:cs="楷体"/>
          <w:kern w:val="2"/>
          <w:sz w:val="28"/>
          <w:szCs w:val="28"/>
          <w:lang w:val="en-US" w:eastAsia="zh-CN" w:bidi="ar-SA"/>
        </w:rPr>
        <w:t>等机械设备运行产生的噪声；所有生产设备均选用低噪声设备，且全部设置于生产车间内，经过基础减振，再经过车间隔声，距离衰减等，能达到较好的降噪效果。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pStyle w:val="5"/>
        <w:numPr>
          <w:ilvl w:val="0"/>
          <w:numId w:val="0"/>
        </w:numPr>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项目产生的固体废物主要有生产过程中产生的废弃边角料、次品、废油墨桶和职工生活垃圾。</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本项目废弃边角料、次品收集后综合利用；含油墨的废包装桶由生产厂家回收；生活垃圾由环卫部门统一收集处理。</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山东聊和环保科技有限公司出具的《聊城市汇力塑料编织有限公司年产100万条塑料编织袋项目竣工环境保护验收监测报告》监测结果表明：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1</w:t>
      </w:r>
      <w:r>
        <w:rPr>
          <w:rFonts w:hint="eastAsia" w:ascii="楷体" w:hAnsi="楷体" w:eastAsia="楷体" w:cs="楷体"/>
          <w:sz w:val="28"/>
          <w:szCs w:val="28"/>
        </w:rPr>
        <w:t>、噪声</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验收监测期间，厂界昼间噪声在52.9dB(A)-57.6dB(A)之间，均符合《工业企业厂界环境噪声排放标准》（GB12348－2008）中的2类标准限值。</w:t>
      </w:r>
    </w:p>
    <w:p>
      <w:pPr>
        <w:pStyle w:val="2"/>
        <w:numPr>
          <w:ilvl w:val="0"/>
          <w:numId w:val="2"/>
        </w:numPr>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废气</w:t>
      </w:r>
    </w:p>
    <w:p>
      <w:pPr>
        <w:spacing w:line="360" w:lineRule="auto"/>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rPr>
        <w:t>验收监测期间，</w:t>
      </w:r>
      <w:r>
        <w:rPr>
          <w:rFonts w:hint="eastAsia" w:ascii="楷体" w:hAnsi="楷体" w:eastAsia="楷体" w:cs="楷体"/>
          <w:color w:val="000000"/>
          <w:sz w:val="28"/>
          <w:szCs w:val="28"/>
          <w:lang w:eastAsia="zh-CN"/>
        </w:rPr>
        <w:t>无组织非甲烷总烃浓度最高为</w:t>
      </w:r>
      <w:r>
        <w:rPr>
          <w:rFonts w:hint="eastAsia" w:ascii="楷体" w:hAnsi="楷体" w:eastAsia="楷体" w:cs="楷体"/>
          <w:color w:val="000000"/>
          <w:sz w:val="28"/>
          <w:szCs w:val="28"/>
          <w:lang w:val="en-US" w:eastAsia="zh-CN"/>
        </w:rPr>
        <w:t>0.72</w:t>
      </w:r>
      <w:r>
        <w:rPr>
          <w:rFonts w:hint="eastAsia" w:ascii="楷体" w:hAnsi="楷体" w:eastAsia="楷体" w:cs="楷体"/>
          <w:color w:val="000000"/>
          <w:sz w:val="28"/>
          <w:szCs w:val="28"/>
        </w:rPr>
        <w:t>mg/m</w:t>
      </w:r>
      <w:r>
        <w:rPr>
          <w:rFonts w:hint="eastAsia" w:ascii="楷体" w:hAnsi="楷体" w:eastAsia="楷体" w:cs="楷体"/>
          <w:color w:val="000000"/>
          <w:sz w:val="28"/>
          <w:szCs w:val="28"/>
          <w:vertAlign w:val="superscript"/>
        </w:rPr>
        <w:t>3</w:t>
      </w:r>
      <w:r>
        <w:rPr>
          <w:rFonts w:hint="eastAsia" w:ascii="楷体" w:hAnsi="楷体" w:eastAsia="楷体" w:cs="楷体"/>
          <w:color w:val="000000"/>
          <w:sz w:val="28"/>
          <w:szCs w:val="28"/>
          <w:vertAlign w:val="baseline"/>
          <w:lang w:eastAsia="zh-CN"/>
        </w:rPr>
        <w:t>，</w:t>
      </w:r>
      <w:r>
        <w:rPr>
          <w:rFonts w:hint="eastAsia" w:ascii="楷体" w:hAnsi="楷体" w:eastAsia="楷体" w:cs="楷体"/>
          <w:color w:val="000000"/>
          <w:sz w:val="28"/>
          <w:szCs w:val="28"/>
        </w:rPr>
        <w:t>满足《大气污染物综合排放标准》GB16297-1996）表2中的无组织排放标准要求。</w:t>
      </w:r>
      <w:r>
        <w:rPr>
          <w:rFonts w:hint="eastAsia" w:ascii="楷体" w:hAnsi="楷体" w:eastAsia="楷体" w:cs="楷体"/>
          <w:color w:val="000000"/>
          <w:sz w:val="28"/>
          <w:szCs w:val="28"/>
          <w:lang w:eastAsia="zh-CN"/>
        </w:rPr>
        <w:t>有</w:t>
      </w:r>
      <w:r>
        <w:rPr>
          <w:rFonts w:hint="eastAsia" w:ascii="楷体" w:hAnsi="楷体" w:eastAsia="楷体" w:cs="楷体"/>
          <w:color w:val="000000"/>
          <w:sz w:val="28"/>
          <w:szCs w:val="28"/>
        </w:rPr>
        <w:t>组织</w:t>
      </w:r>
      <w:r>
        <w:rPr>
          <w:rFonts w:hint="eastAsia" w:ascii="楷体" w:hAnsi="楷体" w:eastAsia="楷体" w:cs="楷体"/>
          <w:color w:val="000000"/>
          <w:sz w:val="28"/>
          <w:szCs w:val="28"/>
          <w:lang w:eastAsia="zh-CN"/>
        </w:rPr>
        <w:t>非甲烷总烃</w:t>
      </w:r>
      <w:r>
        <w:rPr>
          <w:rFonts w:hint="eastAsia" w:ascii="楷体" w:hAnsi="楷体" w:eastAsia="楷体" w:cs="楷体"/>
          <w:color w:val="000000"/>
          <w:sz w:val="28"/>
          <w:szCs w:val="28"/>
        </w:rPr>
        <w:t>最高</w:t>
      </w:r>
      <w:r>
        <w:rPr>
          <w:rFonts w:hint="eastAsia" w:ascii="楷体" w:hAnsi="楷体" w:eastAsia="楷体" w:cs="楷体"/>
          <w:color w:val="000000"/>
          <w:sz w:val="28"/>
          <w:szCs w:val="28"/>
          <w:lang w:eastAsia="zh-CN"/>
        </w:rPr>
        <w:t>排放</w:t>
      </w:r>
      <w:r>
        <w:rPr>
          <w:rFonts w:hint="eastAsia" w:ascii="楷体" w:hAnsi="楷体" w:eastAsia="楷体" w:cs="楷体"/>
          <w:color w:val="000000"/>
          <w:sz w:val="28"/>
          <w:szCs w:val="28"/>
        </w:rPr>
        <w:t>浓度为</w:t>
      </w:r>
      <w:r>
        <w:rPr>
          <w:rFonts w:hint="eastAsia" w:ascii="楷体" w:hAnsi="楷体" w:eastAsia="楷体" w:cs="楷体"/>
          <w:color w:val="000000"/>
          <w:sz w:val="28"/>
          <w:szCs w:val="28"/>
          <w:lang w:val="en-US" w:eastAsia="zh-CN"/>
        </w:rPr>
        <w:t>1.64</w:t>
      </w:r>
      <w:r>
        <w:rPr>
          <w:rFonts w:hint="eastAsia" w:ascii="楷体" w:hAnsi="楷体" w:eastAsia="楷体" w:cs="楷体"/>
          <w:color w:val="000000"/>
          <w:sz w:val="28"/>
          <w:szCs w:val="28"/>
        </w:rPr>
        <w:t>mg/m</w:t>
      </w:r>
      <w:r>
        <w:rPr>
          <w:rFonts w:hint="eastAsia" w:ascii="楷体" w:hAnsi="楷体" w:eastAsia="楷体" w:cs="楷体"/>
          <w:color w:val="000000"/>
          <w:sz w:val="28"/>
          <w:szCs w:val="28"/>
          <w:vertAlign w:val="superscript"/>
        </w:rPr>
        <w:t>3</w:t>
      </w:r>
      <w:r>
        <w:rPr>
          <w:rFonts w:hint="eastAsia" w:ascii="楷体" w:hAnsi="楷体" w:eastAsia="楷体" w:cs="楷体"/>
          <w:color w:val="000000"/>
          <w:sz w:val="28"/>
          <w:szCs w:val="28"/>
        </w:rPr>
        <w:t>，</w:t>
      </w:r>
      <w:r>
        <w:rPr>
          <w:rFonts w:hint="eastAsia" w:ascii="楷体" w:hAnsi="楷体" w:eastAsia="楷体" w:cs="楷体"/>
          <w:color w:val="000000"/>
          <w:sz w:val="28"/>
          <w:szCs w:val="28"/>
          <w:lang w:eastAsia="zh-CN"/>
        </w:rPr>
        <w:t>排放速率为</w:t>
      </w:r>
      <w:r>
        <w:rPr>
          <w:rFonts w:hint="eastAsia" w:ascii="楷体" w:hAnsi="楷体" w:eastAsia="楷体" w:cs="楷体"/>
          <w:b w:val="0"/>
          <w:bCs w:val="0"/>
          <w:color w:val="auto"/>
          <w:sz w:val="28"/>
          <w:szCs w:val="28"/>
          <w:vertAlign w:val="baseline"/>
          <w:lang w:val="en-US" w:eastAsia="zh-CN"/>
        </w:rPr>
        <w:t>4.65×10</w:t>
      </w:r>
      <w:r>
        <w:rPr>
          <w:rFonts w:hint="eastAsia" w:ascii="楷体" w:hAnsi="楷体" w:eastAsia="楷体" w:cs="楷体"/>
          <w:b w:val="0"/>
          <w:bCs w:val="0"/>
          <w:color w:val="auto"/>
          <w:sz w:val="28"/>
          <w:szCs w:val="28"/>
          <w:vertAlign w:val="superscript"/>
          <w:lang w:val="en-US" w:eastAsia="zh-CN"/>
        </w:rPr>
        <w:t>-3</w:t>
      </w:r>
      <w:r>
        <w:rPr>
          <w:rFonts w:hint="eastAsia" w:ascii="楷体" w:hAnsi="楷体" w:eastAsia="楷体" w:cs="楷体"/>
          <w:color w:val="000000"/>
          <w:sz w:val="28"/>
          <w:szCs w:val="28"/>
          <w:lang w:val="en-US" w:eastAsia="zh-CN"/>
        </w:rPr>
        <w:t>kg/h，</w:t>
      </w:r>
      <w:r>
        <w:rPr>
          <w:rFonts w:hint="eastAsia" w:ascii="楷体" w:hAnsi="楷体" w:eastAsia="楷体" w:cs="楷体"/>
          <w:color w:val="000000"/>
          <w:sz w:val="28"/>
          <w:szCs w:val="28"/>
        </w:rPr>
        <w:t>满足《大气污染物综合排放标准》GB16297-1996）表2中</w:t>
      </w:r>
      <w:r>
        <w:rPr>
          <w:rFonts w:hint="eastAsia" w:ascii="楷体" w:hAnsi="楷体" w:eastAsia="楷体" w:cs="楷体"/>
          <w:color w:val="000000"/>
          <w:sz w:val="28"/>
          <w:szCs w:val="28"/>
          <w:lang w:eastAsia="zh-CN"/>
        </w:rPr>
        <w:t>相关标准要求。</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lang w:val="en-US" w:eastAsia="zh-CN"/>
        </w:rPr>
        <w:t>3、</w:t>
      </w:r>
      <w:r>
        <w:rPr>
          <w:rFonts w:hint="eastAsia" w:ascii="楷体" w:hAnsi="楷体" w:eastAsia="楷体" w:cs="楷体"/>
          <w:sz w:val="28"/>
          <w:szCs w:val="28"/>
        </w:rPr>
        <w:t>固体废物</w:t>
      </w:r>
    </w:p>
    <w:p>
      <w:pPr>
        <w:pStyle w:val="5"/>
        <w:numPr>
          <w:ilvl w:val="0"/>
          <w:numId w:val="0"/>
        </w:numPr>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项目产生的固体废物主要有生产过程中产生的废弃边角料、次品、废油墨桶和职工生活垃圾。</w:t>
      </w:r>
    </w:p>
    <w:p>
      <w:pPr>
        <w:spacing w:beforeLines="50" w:line="360" w:lineRule="auto"/>
        <w:ind w:firstLine="280" w:firstLineChars="1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本项目废弃边角料、次品收集后综合利用；含油墨的废包装桶由生产厂家回收；生活垃圾由环卫部门统一收集处理。</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聊城市汇力塑料编织有限公司</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聊城市汇力塑料编织有限公司</w:t>
      </w:r>
      <w:r>
        <w:rPr>
          <w:rFonts w:hint="eastAsia" w:ascii="楷体" w:hAnsi="楷体" w:eastAsia="楷体" w:cs="楷体"/>
          <w:color w:val="000000"/>
          <w:sz w:val="28"/>
          <w:szCs w:val="28"/>
        </w:rPr>
        <w:t>环保管理制度》,日常工作由</w:t>
      </w:r>
      <w:r>
        <w:rPr>
          <w:rFonts w:hint="eastAsia" w:ascii="楷体" w:hAnsi="楷体" w:eastAsia="楷体" w:cs="楷体"/>
          <w:color w:val="000000"/>
          <w:sz w:val="28"/>
          <w:szCs w:val="28"/>
          <w:lang w:eastAsia="zh-CN"/>
        </w:rPr>
        <w:t>环保小组</w:t>
      </w:r>
      <w:r>
        <w:rPr>
          <w:rFonts w:hint="eastAsia" w:ascii="楷体" w:hAnsi="楷体" w:eastAsia="楷体" w:cs="楷体"/>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pStyle w:val="2"/>
        <w:numPr>
          <w:ilvl w:val="0"/>
          <w:numId w:val="3"/>
        </w:numPr>
      </w:pPr>
      <w:r>
        <w:rPr>
          <w:rFonts w:hint="eastAsia" w:ascii="楷体" w:hAnsi="楷体" w:eastAsia="楷体" w:cs="楷体"/>
          <w:kern w:val="2"/>
          <w:sz w:val="28"/>
          <w:szCs w:val="28"/>
          <w:lang w:val="en-US" w:eastAsia="zh-CN" w:bidi="ar-SA"/>
        </w:rPr>
        <w:t>规范存放下脚料。</w:t>
      </w:r>
    </w:p>
    <w:p>
      <w:pPr>
        <w:pStyle w:val="2"/>
        <w:numPr>
          <w:ilvl w:val="0"/>
          <w:numId w:val="3"/>
        </w:numPr>
      </w:pPr>
      <w:r>
        <w:rPr>
          <w:rFonts w:hint="eastAsia" w:ascii="楷体" w:hAnsi="楷体" w:eastAsia="楷体" w:cs="楷体"/>
          <w:kern w:val="2"/>
          <w:sz w:val="28"/>
          <w:szCs w:val="28"/>
          <w:lang w:val="en-US" w:eastAsia="zh-CN" w:bidi="ar-SA"/>
        </w:rPr>
        <w:t>加大吹膜机集气罩面积，提高废气收集效率。</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lang w:eastAsia="zh-CN"/>
        </w:rPr>
        <w:t>六</w:t>
      </w:r>
      <w:r>
        <w:rPr>
          <w:rFonts w:hint="eastAsia" w:ascii="楷体" w:hAnsi="楷体" w:eastAsia="楷体" w:cs="楷体"/>
          <w:sz w:val="28"/>
          <w:szCs w:val="28"/>
        </w:rPr>
        <w:t>、验收结论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eastAsia" w:ascii="楷体" w:hAnsi="楷体" w:eastAsia="楷体" w:cs="楷体"/>
          <w:sz w:val="28"/>
          <w:szCs w:val="28"/>
          <w:lang w:val="en-US" w:eastAsia="zh-CN"/>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pPr>
      <w:r>
        <w:rPr>
          <w:rFonts w:hint="eastAsia" w:ascii="楷体" w:hAnsi="楷体" w:eastAsia="楷体" w:cs="楷体"/>
          <w:sz w:val="28"/>
          <w:szCs w:val="28"/>
        </w:rPr>
        <w:t xml:space="preserve">                          </w:t>
      </w:r>
      <w:r>
        <w:rPr>
          <w:rFonts w:hint="eastAsia" w:ascii="楷体" w:hAnsi="楷体" w:eastAsia="楷体" w:cs="楷体"/>
          <w:sz w:val="28"/>
          <w:szCs w:val="28"/>
          <w:lang w:eastAsia="zh-CN"/>
        </w:rPr>
        <w:t>聊城市汇力塑料编织有限公司</w:t>
      </w:r>
      <w:r>
        <w:rPr>
          <w:rFonts w:hint="eastAsia" w:ascii="楷体" w:hAnsi="楷体" w:eastAsia="楷体" w:cs="楷体"/>
          <w:sz w:val="28"/>
          <w:szCs w:val="28"/>
        </w:rPr>
        <w:t>验收组</w:t>
      </w:r>
    </w:p>
    <w:p>
      <w:pPr>
        <w:spacing w:line="360" w:lineRule="auto"/>
        <w:jc w:val="cente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2018年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val="en-US" w:eastAsia="zh-CN"/>
        </w:rPr>
        <w:t>10</w:t>
      </w:r>
      <w:bookmarkStart w:id="0" w:name="_GoBack"/>
      <w:bookmarkEnd w:id="0"/>
      <w:r>
        <w:rPr>
          <w:rFonts w:hint="eastAsia" w:ascii="楷体" w:hAnsi="楷体" w:eastAsia="楷体" w:cs="楷体"/>
          <w:sz w:val="28"/>
          <w:szCs w:val="28"/>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hakuyoxingshu7000">
    <w:panose1 w:val="02000600000000000000"/>
    <w:charset w:val="86"/>
    <w:family w:val="auto"/>
    <w:pitch w:val="default"/>
    <w:sig w:usb0="FFFFFFFF" w:usb1="E9FFFFFF" w:usb2="0000003F" w:usb3="00000000" w:csb0="603F00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50606B"/>
    <w:multiLevelType w:val="singleLevel"/>
    <w:tmpl w:val="1D50606B"/>
    <w:lvl w:ilvl="0" w:tentative="0">
      <w:start w:val="2"/>
      <w:numFmt w:val="decimal"/>
      <w:suff w:val="nothing"/>
      <w:lvlText w:val="%1、"/>
      <w:lvlJc w:val="left"/>
    </w:lvl>
  </w:abstractNum>
  <w:abstractNum w:abstractNumId="1">
    <w:nsid w:val="46AAAAD9"/>
    <w:multiLevelType w:val="singleLevel"/>
    <w:tmpl w:val="46AAAAD9"/>
    <w:lvl w:ilvl="0" w:tentative="0">
      <w:start w:val="1"/>
      <w:numFmt w:val="decimal"/>
      <w:suff w:val="nothing"/>
      <w:lvlText w:val="%1、"/>
      <w:lvlJc w:val="left"/>
    </w:lvl>
  </w:abstractNum>
  <w:abstractNum w:abstractNumId="2">
    <w:nsid w:val="6B5C5DE4"/>
    <w:multiLevelType w:val="singleLevel"/>
    <w:tmpl w:val="6B5C5DE4"/>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2135602"/>
    <w:rsid w:val="029A7846"/>
    <w:rsid w:val="04240A11"/>
    <w:rsid w:val="04334B5D"/>
    <w:rsid w:val="04435BCA"/>
    <w:rsid w:val="04EE720B"/>
    <w:rsid w:val="080C1189"/>
    <w:rsid w:val="08516DB8"/>
    <w:rsid w:val="08741F56"/>
    <w:rsid w:val="0B3710F6"/>
    <w:rsid w:val="1114739D"/>
    <w:rsid w:val="11C63CC0"/>
    <w:rsid w:val="11E60AC7"/>
    <w:rsid w:val="1887595F"/>
    <w:rsid w:val="188E2022"/>
    <w:rsid w:val="1A1158EF"/>
    <w:rsid w:val="1B5934FA"/>
    <w:rsid w:val="1EB23C92"/>
    <w:rsid w:val="2DD212FF"/>
    <w:rsid w:val="2F45678C"/>
    <w:rsid w:val="304D4A12"/>
    <w:rsid w:val="3398641F"/>
    <w:rsid w:val="34EA090E"/>
    <w:rsid w:val="3BA064D6"/>
    <w:rsid w:val="3BA24A74"/>
    <w:rsid w:val="3C9D29D7"/>
    <w:rsid w:val="3E407687"/>
    <w:rsid w:val="3E5C226F"/>
    <w:rsid w:val="40516DBF"/>
    <w:rsid w:val="49387C4F"/>
    <w:rsid w:val="4F63461C"/>
    <w:rsid w:val="55424CCC"/>
    <w:rsid w:val="57974243"/>
    <w:rsid w:val="5953115E"/>
    <w:rsid w:val="5C687BD7"/>
    <w:rsid w:val="5D0B3D4A"/>
    <w:rsid w:val="64D951B9"/>
    <w:rsid w:val="6C935275"/>
    <w:rsid w:val="6C9779C0"/>
    <w:rsid w:val="6F733717"/>
    <w:rsid w:val="73164A3F"/>
    <w:rsid w:val="74234EB6"/>
    <w:rsid w:val="747F6622"/>
    <w:rsid w:val="793830BA"/>
    <w:rsid w:val="7A5E7FA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Normal Indent"/>
    <w:basedOn w:val="1"/>
    <w:qFormat/>
    <w:uiPriority w:val="0"/>
    <w:pPr>
      <w:ind w:firstLine="420" w:firstLineChars="200"/>
    </w:pPr>
    <w:rPr>
      <w:szCs w:val="24"/>
    </w:rPr>
  </w:style>
  <w:style w:type="paragraph" w:styleId="4">
    <w:name w:val="Body Text Indent"/>
    <w:basedOn w:val="1"/>
    <w:qFormat/>
    <w:uiPriority w:val="0"/>
    <w:pPr>
      <w:ind w:right="-100" w:firstLine="560" w:firstLineChars="200"/>
    </w:pPr>
    <w:rPr>
      <w:sz w:val="28"/>
    </w:rPr>
  </w:style>
  <w:style w:type="paragraph" w:styleId="5">
    <w:name w:val="Plain Text"/>
    <w:basedOn w:val="1"/>
    <w:next w:val="4"/>
    <w:uiPriority w:val="0"/>
    <w:rPr>
      <w:rFonts w:ascii="宋体" w:hAnsi="Courier New" w:cs="Courier New"/>
      <w:szCs w:val="21"/>
    </w:rPr>
  </w:style>
  <w:style w:type="paragraph" w:styleId="6">
    <w:name w:val="Balloon Text"/>
    <w:basedOn w:val="1"/>
    <w:link w:val="19"/>
    <w:semiHidden/>
    <w:unhideWhenUsed/>
    <w:qFormat/>
    <w:uiPriority w:val="99"/>
    <w:rPr>
      <w:sz w:val="18"/>
      <w:szCs w:val="18"/>
    </w:rPr>
  </w:style>
  <w:style w:type="paragraph" w:styleId="7">
    <w:name w:val="footer"/>
    <w:basedOn w:val="1"/>
    <w:link w:val="14"/>
    <w:semiHidden/>
    <w:qFormat/>
    <w:uiPriority w:val="99"/>
    <w:pPr>
      <w:tabs>
        <w:tab w:val="center" w:pos="4153"/>
        <w:tab w:val="right" w:pos="8306"/>
      </w:tabs>
      <w:snapToGrid w:val="0"/>
      <w:jc w:val="left"/>
    </w:pPr>
    <w:rPr>
      <w:sz w:val="18"/>
      <w:szCs w:val="18"/>
    </w:rPr>
  </w:style>
  <w:style w:type="paragraph" w:styleId="8">
    <w:name w:val="header"/>
    <w:basedOn w:val="1"/>
    <w:link w:val="13"/>
    <w:semiHidden/>
    <w:qFormat/>
    <w:uiPriority w:val="99"/>
    <w:pPr>
      <w:pBdr>
        <w:bottom w:val="single" w:color="auto" w:sz="6" w:space="1"/>
      </w:pBdr>
      <w:tabs>
        <w:tab w:val="center" w:pos="4153"/>
        <w:tab w:val="right" w:pos="8306"/>
      </w:tabs>
      <w:snapToGrid w:val="0"/>
      <w:jc w:val="center"/>
    </w:pPr>
    <w:rPr>
      <w:sz w:val="18"/>
      <w:szCs w:val="18"/>
    </w:rPr>
  </w:style>
  <w:style w:type="table" w:styleId="11">
    <w:name w:val="Table Grid"/>
    <w:basedOn w:val="10"/>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3">
    <w:name w:val="页眉 Char"/>
    <w:basedOn w:val="9"/>
    <w:link w:val="8"/>
    <w:semiHidden/>
    <w:qFormat/>
    <w:locked/>
    <w:uiPriority w:val="99"/>
    <w:rPr>
      <w:rFonts w:cs="Times New Roman"/>
      <w:sz w:val="18"/>
      <w:szCs w:val="18"/>
    </w:rPr>
  </w:style>
  <w:style w:type="character" w:customStyle="1" w:styleId="14">
    <w:name w:val="页脚 Char"/>
    <w:basedOn w:val="9"/>
    <w:link w:val="7"/>
    <w:semiHidden/>
    <w:qFormat/>
    <w:locked/>
    <w:uiPriority w:val="99"/>
    <w:rPr>
      <w:rFonts w:cs="Times New Roman"/>
      <w:sz w:val="18"/>
      <w:szCs w:val="18"/>
    </w:rPr>
  </w:style>
  <w:style w:type="paragraph" w:styleId="15">
    <w:name w:val="List Paragraph"/>
    <w:basedOn w:val="1"/>
    <w:qFormat/>
    <w:uiPriority w:val="99"/>
    <w:pPr>
      <w:ind w:firstLine="420" w:firstLineChars="200"/>
    </w:pPr>
  </w:style>
  <w:style w:type="character" w:customStyle="1" w:styleId="16">
    <w:name w:val="正1 Char"/>
    <w:link w:val="17"/>
    <w:qFormat/>
    <w:locked/>
    <w:uiPriority w:val="99"/>
    <w:rPr>
      <w:rFonts w:eastAsia="楷体_GB2312"/>
      <w:sz w:val="24"/>
    </w:rPr>
  </w:style>
  <w:style w:type="paragraph" w:customStyle="1" w:styleId="17">
    <w:name w:val="正1"/>
    <w:basedOn w:val="1"/>
    <w:link w:val="16"/>
    <w:qFormat/>
    <w:uiPriority w:val="99"/>
    <w:pPr>
      <w:spacing w:line="360" w:lineRule="auto"/>
      <w:ind w:firstLine="200" w:firstLineChars="200"/>
      <w:jc w:val="left"/>
    </w:pPr>
    <w:rPr>
      <w:rFonts w:ascii="Calibri" w:hAnsi="Calibri" w:eastAsia="楷体_GB2312"/>
      <w:kern w:val="0"/>
      <w:sz w:val="24"/>
    </w:rPr>
  </w:style>
  <w:style w:type="paragraph" w:customStyle="1" w:styleId="18">
    <w:name w:val="Char Char Char Char Char Char Char"/>
    <w:basedOn w:val="1"/>
    <w:qFormat/>
    <w:uiPriority w:val="99"/>
  </w:style>
  <w:style w:type="character" w:customStyle="1" w:styleId="19">
    <w:name w:val="批注框文本 Char"/>
    <w:basedOn w:val="9"/>
    <w:link w:val="6"/>
    <w:semiHidden/>
    <w:qFormat/>
    <w:uiPriority w:val="99"/>
    <w:rPr>
      <w:rFonts w:ascii="Times New Roman" w:hAnsi="Times New Roman"/>
      <w:kern w:val="2"/>
      <w:sz w:val="18"/>
      <w:szCs w:val="18"/>
    </w:rPr>
  </w:style>
  <w:style w:type="paragraph" w:customStyle="1" w:styleId="20">
    <w:name w:val="ZW正文"/>
    <w:basedOn w:val="1"/>
    <w:qFormat/>
    <w:uiPriority w:val="0"/>
    <w:pPr>
      <w:spacing w:line="500" w:lineRule="exact"/>
      <w:ind w:firstLine="48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3</TotalTime>
  <ScaleCrop>false</ScaleCrop>
  <LinksUpToDate>false</LinksUpToDate>
  <CharactersWithSpaces>2187</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2018-12-11T03:05:46Z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