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ind w:left="298" w:leftChars="142"/>
        <w:jc w:val="center"/>
        <w:rPr>
          <w:rFonts w:ascii="楷体_GB2312" w:eastAsia="楷体_GB2312"/>
          <w:b/>
          <w:sz w:val="28"/>
          <w:szCs w:val="28"/>
        </w:rPr>
      </w:pPr>
      <w:r>
        <w:rPr>
          <w:rFonts w:hint="default" w:ascii="楷体_GB2312" w:eastAsia="楷体_GB2312"/>
          <w:b/>
          <w:sz w:val="28"/>
          <w:szCs w:val="28"/>
          <w:lang w:val="en-US" w:eastAsia="zh-CN"/>
        </w:rPr>
        <w:t>东阿县御颜堂阿胶制品有限公司阿胶及阿胶系列产品生产项目</w:t>
      </w:r>
    </w:p>
    <w:p>
      <w:pPr>
        <w:tabs>
          <w:tab w:val="left" w:pos="360"/>
        </w:tabs>
        <w:ind w:left="298" w:leftChars="142"/>
        <w:jc w:val="center"/>
        <w:rPr>
          <w:rFonts w:ascii="楷体_GB2312" w:eastAsia="楷体_GB2312"/>
          <w:b/>
          <w:sz w:val="28"/>
          <w:szCs w:val="28"/>
        </w:rPr>
      </w:pPr>
      <w:r>
        <w:rPr>
          <w:rFonts w:hint="eastAsia" w:ascii="楷体_GB2312" w:eastAsia="楷体_GB2312"/>
          <w:b/>
          <w:sz w:val="28"/>
          <w:szCs w:val="28"/>
        </w:rPr>
        <w:t>竣工环境保护验收现场检查及验收工作组验收意见</w:t>
      </w:r>
    </w:p>
    <w:p>
      <w:pPr>
        <w:tabs>
          <w:tab w:val="left" w:pos="360"/>
        </w:tabs>
        <w:ind w:left="298" w:leftChars="142"/>
        <w:rPr>
          <w:rFonts w:ascii="楷体_GB2312" w:eastAsia="楷体_GB2312"/>
          <w:b/>
          <w:sz w:val="30"/>
          <w:szCs w:val="30"/>
        </w:rPr>
      </w:pPr>
    </w:p>
    <w:p>
      <w:pPr>
        <w:tabs>
          <w:tab w:val="left" w:pos="360"/>
        </w:tabs>
        <w:spacing w:line="360" w:lineRule="auto"/>
        <w:ind w:left="298" w:leftChars="142"/>
        <w:jc w:val="left"/>
        <w:rPr>
          <w:rFonts w:ascii="楷体" w:hAnsi="楷体" w:eastAsia="楷体" w:cs="楷体"/>
          <w:sz w:val="28"/>
          <w:szCs w:val="28"/>
        </w:rPr>
      </w:pPr>
      <w:r>
        <w:rPr>
          <w:rFonts w:ascii="楷体_GB2312" w:hAnsi="宋体" w:eastAsia="楷体_GB2312"/>
          <w:sz w:val="28"/>
          <w:szCs w:val="28"/>
        </w:rPr>
        <w:t xml:space="preserve">  </w:t>
      </w:r>
      <w:r>
        <w:rPr>
          <w:rFonts w:hint="eastAsia" w:ascii="楷体" w:hAnsi="楷体" w:eastAsia="楷体" w:cs="楷体"/>
          <w:sz w:val="28"/>
          <w:szCs w:val="28"/>
        </w:rPr>
        <w:t xml:space="preserve">   2018年</w:t>
      </w:r>
      <w:r>
        <w:rPr>
          <w:rFonts w:hint="eastAsia" w:ascii="楷体" w:hAnsi="楷体" w:eastAsia="楷体" w:cs="楷体"/>
          <w:color w:val="000000" w:themeColor="text1"/>
          <w:sz w:val="28"/>
          <w:szCs w:val="28"/>
          <w14:textFill>
            <w14:solidFill>
              <w14:schemeClr w14:val="tx1"/>
            </w14:solidFill>
          </w14:textFill>
        </w:rPr>
        <w:t>1</w:t>
      </w:r>
      <w:r>
        <w:rPr>
          <w:rFonts w:hint="eastAsia" w:ascii="楷体" w:hAnsi="楷体" w:eastAsia="楷体" w:cs="楷体"/>
          <w:color w:val="000000" w:themeColor="text1"/>
          <w:sz w:val="28"/>
          <w:szCs w:val="28"/>
          <w:lang w:val="en-US" w:eastAsia="zh-CN"/>
          <w14:textFill>
            <w14:solidFill>
              <w14:schemeClr w14:val="tx1"/>
            </w14:solidFill>
          </w14:textFill>
        </w:rPr>
        <w:t>1</w:t>
      </w:r>
      <w:r>
        <w:rPr>
          <w:rFonts w:hint="eastAsia" w:ascii="楷体" w:hAnsi="楷体" w:eastAsia="楷体" w:cs="楷体"/>
          <w:color w:val="000000" w:themeColor="text1"/>
          <w:sz w:val="28"/>
          <w:szCs w:val="28"/>
          <w14:textFill>
            <w14:solidFill>
              <w14:schemeClr w14:val="tx1"/>
            </w14:solidFill>
          </w14:textFill>
        </w:rPr>
        <w:t>月</w:t>
      </w:r>
      <w:r>
        <w:rPr>
          <w:rFonts w:hint="eastAsia" w:ascii="楷体" w:hAnsi="楷体" w:eastAsia="楷体" w:cs="楷体"/>
          <w:color w:val="000000" w:themeColor="text1"/>
          <w:sz w:val="28"/>
          <w:szCs w:val="28"/>
          <w:lang w:val="en-US" w:eastAsia="zh-CN"/>
          <w14:textFill>
            <w14:solidFill>
              <w14:schemeClr w14:val="tx1"/>
            </w14:solidFill>
          </w14:textFill>
        </w:rPr>
        <w:t>10</w:t>
      </w:r>
      <w:r>
        <w:rPr>
          <w:rFonts w:hint="eastAsia" w:ascii="楷体" w:hAnsi="楷体" w:eastAsia="楷体" w:cs="楷体"/>
          <w:color w:val="000000" w:themeColor="text1"/>
          <w:sz w:val="28"/>
          <w:szCs w:val="28"/>
          <w14:textFill>
            <w14:solidFill>
              <w14:schemeClr w14:val="tx1"/>
            </w14:solidFill>
          </w14:textFill>
        </w:rPr>
        <w:t>日</w:t>
      </w:r>
      <w:r>
        <w:rPr>
          <w:rFonts w:hint="eastAsia" w:ascii="楷体" w:hAnsi="楷体" w:eastAsia="楷体" w:cs="楷体"/>
          <w:sz w:val="28"/>
          <w:szCs w:val="28"/>
        </w:rPr>
        <w:t>，</w:t>
      </w:r>
      <w:r>
        <w:rPr>
          <w:rFonts w:hint="eastAsia" w:ascii="楷体" w:hAnsi="楷体" w:eastAsia="楷体" w:cs="楷体"/>
          <w:sz w:val="28"/>
          <w:szCs w:val="28"/>
          <w:lang w:val="en-US" w:eastAsia="zh-CN"/>
        </w:rPr>
        <w:t>东阿县御颜堂阿胶制品有限公司</w:t>
      </w:r>
      <w:r>
        <w:rPr>
          <w:rFonts w:hint="eastAsia" w:ascii="楷体" w:hAnsi="楷体" w:eastAsia="楷体" w:cs="楷体"/>
          <w:sz w:val="28"/>
          <w:szCs w:val="28"/>
        </w:rPr>
        <w:t>组织召开公司</w:t>
      </w:r>
      <w:r>
        <w:rPr>
          <w:rFonts w:hint="eastAsia" w:ascii="楷体" w:hAnsi="楷体" w:eastAsia="楷体" w:cs="楷体"/>
          <w:sz w:val="28"/>
          <w:szCs w:val="28"/>
          <w:lang w:val="en-US" w:eastAsia="zh-CN"/>
        </w:rPr>
        <w:t>阿胶及阿胶系列产品生产项目</w:t>
      </w:r>
      <w:r>
        <w:rPr>
          <w:rFonts w:hint="eastAsia" w:ascii="楷体" w:hAnsi="楷体" w:eastAsia="楷体" w:cs="楷体"/>
          <w:sz w:val="28"/>
          <w:szCs w:val="28"/>
        </w:rPr>
        <w:t>竣工环境保护验收现场检查及验收及验收会。验收工作组由工程建设单位（</w:t>
      </w:r>
      <w:r>
        <w:rPr>
          <w:rFonts w:hint="eastAsia" w:ascii="楷体" w:hAnsi="楷体" w:eastAsia="楷体" w:cs="楷体"/>
          <w:sz w:val="28"/>
          <w:szCs w:val="28"/>
          <w:lang w:val="en-US" w:eastAsia="zh-CN"/>
        </w:rPr>
        <w:t>东阿县御颜堂阿胶制品有限公司</w:t>
      </w:r>
      <w:r>
        <w:rPr>
          <w:rFonts w:hint="eastAsia" w:ascii="楷体" w:hAnsi="楷体" w:eastAsia="楷体" w:cs="楷体"/>
          <w:sz w:val="28"/>
          <w:szCs w:val="28"/>
        </w:rPr>
        <w:t>）、环评单位（</w:t>
      </w:r>
      <w:r>
        <w:rPr>
          <w:rFonts w:hint="eastAsia" w:ascii="楷体" w:hAnsi="楷体" w:eastAsia="楷体" w:cs="楷体"/>
          <w:sz w:val="28"/>
          <w:szCs w:val="28"/>
          <w:lang w:eastAsia="zh-CN"/>
        </w:rPr>
        <w:t>聊城大学</w:t>
      </w:r>
      <w:r>
        <w:rPr>
          <w:rFonts w:hint="eastAsia" w:ascii="楷体" w:hAnsi="楷体" w:eastAsia="楷体" w:cs="楷体"/>
          <w:sz w:val="28"/>
          <w:szCs w:val="28"/>
        </w:rPr>
        <w:t>）、监测单位（山东聊和环保科技有限公司）并特邀2名技术专家（名单附后）组成。</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一、工程建设基本情况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（一）建设地点、规模、主要建设内容</w:t>
      </w:r>
    </w:p>
    <w:p>
      <w:pPr>
        <w:tabs>
          <w:tab w:val="left" w:pos="360"/>
        </w:tabs>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项目建设地点位于山东东阿经济开发区，</w:t>
      </w:r>
      <w:r>
        <w:rPr>
          <w:rFonts w:hint="eastAsia" w:ascii="楷体" w:hAnsi="楷体" w:eastAsia="楷体" w:cs="楷体"/>
          <w:sz w:val="28"/>
          <w:szCs w:val="28"/>
          <w:lang w:eastAsia="zh-CN"/>
        </w:rPr>
        <w:t>香江路北首路西</w:t>
      </w:r>
      <w:r>
        <w:rPr>
          <w:rFonts w:hint="eastAsia" w:ascii="楷体" w:hAnsi="楷体" w:eastAsia="楷体" w:cs="楷体"/>
          <w:sz w:val="28"/>
          <w:szCs w:val="28"/>
        </w:rPr>
        <w:t>，</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300</w:t>
      </w:r>
      <w:r>
        <w:rPr>
          <w:rFonts w:hint="eastAsia" w:ascii="楷体" w:hAnsi="楷体" w:eastAsia="楷体" w:cs="楷体"/>
          <w:sz w:val="28"/>
          <w:szCs w:val="28"/>
          <w:lang w:eastAsia="zh-CN"/>
        </w:rPr>
        <w:t>吨</w:t>
      </w:r>
      <w:r>
        <w:rPr>
          <w:rFonts w:hint="eastAsia" w:ascii="楷体" w:hAnsi="楷体" w:eastAsia="楷体" w:cs="楷体"/>
          <w:sz w:val="28"/>
          <w:szCs w:val="28"/>
          <w:lang w:val="en-US" w:eastAsia="zh-CN"/>
        </w:rPr>
        <w:t>阿胶及阿胶系列产品</w:t>
      </w:r>
      <w:r>
        <w:rPr>
          <w:rFonts w:hint="eastAsia" w:ascii="楷体" w:hAnsi="楷体" w:eastAsia="楷体" w:cs="楷体"/>
          <w:sz w:val="28"/>
          <w:szCs w:val="28"/>
        </w:rPr>
        <w:t>，总投资</w:t>
      </w:r>
      <w:r>
        <w:rPr>
          <w:rFonts w:hint="eastAsia" w:ascii="楷体" w:hAnsi="楷体" w:eastAsia="楷体" w:cs="楷体"/>
          <w:sz w:val="28"/>
          <w:szCs w:val="28"/>
          <w:lang w:val="en-US" w:eastAsia="zh-CN"/>
        </w:rPr>
        <w:t>3077.42</w:t>
      </w:r>
      <w:r>
        <w:rPr>
          <w:rFonts w:hint="eastAsia" w:ascii="楷体" w:hAnsi="楷体" w:eastAsia="楷体" w:cs="楷体"/>
          <w:sz w:val="28"/>
          <w:szCs w:val="28"/>
        </w:rPr>
        <w:t>万元，</w:t>
      </w:r>
      <w:r>
        <w:rPr>
          <w:rFonts w:hint="eastAsia" w:ascii="楷体" w:hAnsi="楷体" w:eastAsia="楷体" w:cs="楷体"/>
          <w:color w:val="000000" w:themeColor="text1"/>
          <w:sz w:val="28"/>
          <w:szCs w:val="28"/>
          <w14:textFill>
            <w14:solidFill>
              <w14:schemeClr w14:val="tx1"/>
            </w14:solidFill>
          </w14:textFill>
        </w:rPr>
        <w:t>占地面积20000m</w:t>
      </w:r>
      <w:r>
        <w:rPr>
          <w:rFonts w:hint="eastAsia" w:ascii="楷体" w:hAnsi="楷体" w:eastAsia="楷体" w:cs="楷体"/>
          <w:color w:val="000000" w:themeColor="text1"/>
          <w:sz w:val="28"/>
          <w:szCs w:val="28"/>
          <w:vertAlign w:val="superscript"/>
          <w14:textFill>
            <w14:solidFill>
              <w14:schemeClr w14:val="tx1"/>
            </w14:solidFill>
          </w14:textFill>
        </w:rPr>
        <w:t>2</w:t>
      </w:r>
      <w:r>
        <w:rPr>
          <w:rFonts w:hint="eastAsia" w:ascii="楷体" w:hAnsi="楷体" w:eastAsia="楷体" w:cs="楷体"/>
          <w:color w:val="000000" w:themeColor="text1"/>
          <w:sz w:val="28"/>
          <w:szCs w:val="28"/>
          <w14:textFill>
            <w14:solidFill>
              <w14:schemeClr w14:val="tx1"/>
            </w14:solidFill>
          </w14:textFill>
        </w:rPr>
        <w:t>，</w:t>
      </w:r>
      <w:r>
        <w:rPr>
          <w:rFonts w:hint="eastAsia" w:ascii="楷体" w:hAnsi="楷体" w:eastAsia="楷体" w:cs="楷体"/>
          <w:sz w:val="28"/>
          <w:szCs w:val="28"/>
        </w:rPr>
        <w:t>购置</w:t>
      </w:r>
      <w:r>
        <w:rPr>
          <w:rFonts w:hint="eastAsia" w:ascii="楷体" w:hAnsi="楷体" w:eastAsia="楷体" w:cs="楷体"/>
          <w:sz w:val="28"/>
          <w:szCs w:val="28"/>
          <w:lang w:eastAsia="zh-CN"/>
        </w:rPr>
        <w:t>夹层锅、蒸球</w:t>
      </w:r>
      <w:r>
        <w:rPr>
          <w:rFonts w:hint="eastAsia" w:ascii="楷体" w:hAnsi="楷体" w:eastAsia="楷体" w:cs="楷体"/>
          <w:sz w:val="28"/>
          <w:szCs w:val="28"/>
        </w:rPr>
        <w:t>等加工设备。</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建设性质为扩建，项目生产规模为：</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300</w:t>
      </w:r>
      <w:r>
        <w:rPr>
          <w:rFonts w:hint="eastAsia" w:ascii="楷体" w:hAnsi="楷体" w:eastAsia="楷体" w:cs="楷体"/>
          <w:sz w:val="28"/>
          <w:szCs w:val="28"/>
          <w:lang w:eastAsia="zh-CN"/>
        </w:rPr>
        <w:t>吨</w:t>
      </w:r>
      <w:r>
        <w:rPr>
          <w:rFonts w:hint="eastAsia" w:ascii="楷体" w:hAnsi="楷体" w:eastAsia="楷体" w:cs="楷体"/>
          <w:sz w:val="28"/>
          <w:szCs w:val="28"/>
          <w:lang w:val="en-US" w:eastAsia="zh-CN"/>
        </w:rPr>
        <w:t>阿胶及阿胶系列产品</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（二）环保审批情况</w:t>
      </w:r>
    </w:p>
    <w:p>
      <w:pPr>
        <w:spacing w:line="360" w:lineRule="auto"/>
        <w:ind w:firstLine="700" w:firstLineChars="250"/>
        <w:rPr>
          <w:rFonts w:ascii="楷体" w:hAnsi="楷体" w:eastAsia="楷体" w:cs="楷体"/>
          <w:sz w:val="28"/>
          <w:szCs w:val="28"/>
        </w:rPr>
      </w:pPr>
      <w:r>
        <w:rPr>
          <w:rFonts w:hint="eastAsia" w:ascii="楷体" w:hAnsi="楷体" w:eastAsia="楷体" w:cs="楷体"/>
          <w:sz w:val="28"/>
          <w:szCs w:val="28"/>
        </w:rPr>
        <w:t>201</w:t>
      </w:r>
      <w:r>
        <w:rPr>
          <w:rFonts w:hint="eastAsia" w:ascii="楷体" w:hAnsi="楷体" w:eastAsia="楷体" w:cs="楷体"/>
          <w:sz w:val="28"/>
          <w:szCs w:val="28"/>
          <w:lang w:val="en-US" w:eastAsia="zh-CN"/>
        </w:rPr>
        <w:t>6</w:t>
      </w:r>
      <w:r>
        <w:rPr>
          <w:rFonts w:hint="eastAsia" w:ascii="楷体" w:hAnsi="楷体" w:eastAsia="楷体" w:cs="楷体"/>
          <w:sz w:val="28"/>
          <w:szCs w:val="28"/>
        </w:rPr>
        <w:t>年</w:t>
      </w:r>
      <w:r>
        <w:rPr>
          <w:rFonts w:hint="eastAsia" w:ascii="楷体" w:hAnsi="楷体" w:eastAsia="楷体" w:cs="楷体"/>
          <w:sz w:val="28"/>
          <w:szCs w:val="28"/>
          <w:lang w:val="en-US" w:eastAsia="zh-CN"/>
        </w:rPr>
        <w:t>9</w:t>
      </w:r>
      <w:r>
        <w:rPr>
          <w:rFonts w:hint="eastAsia" w:ascii="楷体" w:hAnsi="楷体" w:eastAsia="楷体" w:cs="楷体"/>
          <w:sz w:val="28"/>
          <w:szCs w:val="28"/>
        </w:rPr>
        <w:t>月</w:t>
      </w:r>
      <w:r>
        <w:rPr>
          <w:rFonts w:hint="eastAsia" w:ascii="楷体" w:hAnsi="楷体" w:eastAsia="楷体" w:cs="楷体"/>
          <w:sz w:val="28"/>
          <w:szCs w:val="28"/>
          <w:lang w:val="en-US" w:eastAsia="zh-CN"/>
        </w:rPr>
        <w:t>东阿县御颜堂阿胶制品有限公司</w:t>
      </w:r>
      <w:r>
        <w:rPr>
          <w:rFonts w:hint="eastAsia" w:ascii="楷体" w:hAnsi="楷体" w:eastAsia="楷体" w:cs="楷体"/>
          <w:sz w:val="28"/>
          <w:szCs w:val="28"/>
        </w:rPr>
        <w:t>委托</w:t>
      </w:r>
      <w:r>
        <w:rPr>
          <w:rFonts w:hint="eastAsia" w:ascii="楷体" w:hAnsi="楷体" w:eastAsia="楷体" w:cs="楷体"/>
          <w:sz w:val="28"/>
          <w:szCs w:val="28"/>
          <w:lang w:eastAsia="zh-CN"/>
        </w:rPr>
        <w:t>聊城大学</w:t>
      </w:r>
      <w:r>
        <w:rPr>
          <w:rFonts w:hint="eastAsia" w:ascii="楷体" w:hAnsi="楷体" w:eastAsia="楷体" w:cs="楷体"/>
          <w:sz w:val="28"/>
          <w:szCs w:val="28"/>
        </w:rPr>
        <w:t>编制了《</w:t>
      </w:r>
      <w:r>
        <w:rPr>
          <w:rFonts w:hint="eastAsia" w:ascii="楷体" w:hAnsi="楷体" w:eastAsia="楷体" w:cs="楷体"/>
          <w:sz w:val="28"/>
          <w:szCs w:val="28"/>
          <w:lang w:val="en-US" w:eastAsia="zh-CN"/>
        </w:rPr>
        <w:t>东阿县御颜堂阿胶制品有限公司阿胶及阿胶系列产品生产项目</w:t>
      </w:r>
      <w:r>
        <w:rPr>
          <w:rFonts w:hint="eastAsia" w:ascii="楷体" w:hAnsi="楷体" w:eastAsia="楷体" w:cs="楷体"/>
          <w:sz w:val="28"/>
          <w:szCs w:val="28"/>
        </w:rPr>
        <w:t>环境影响报告表》，201</w:t>
      </w:r>
      <w:r>
        <w:rPr>
          <w:rFonts w:hint="eastAsia" w:ascii="楷体" w:hAnsi="楷体" w:eastAsia="楷体" w:cs="楷体"/>
          <w:sz w:val="28"/>
          <w:szCs w:val="28"/>
          <w:lang w:val="en-US" w:eastAsia="zh-CN"/>
        </w:rPr>
        <w:t>6</w:t>
      </w:r>
      <w:r>
        <w:rPr>
          <w:rFonts w:hint="eastAsia" w:ascii="楷体" w:hAnsi="楷体" w:eastAsia="楷体" w:cs="楷体"/>
          <w:sz w:val="28"/>
          <w:szCs w:val="28"/>
        </w:rPr>
        <w:t>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日</w:t>
      </w:r>
      <w:r>
        <w:rPr>
          <w:rFonts w:hint="eastAsia" w:ascii="楷体" w:hAnsi="楷体" w:eastAsia="楷体" w:cs="楷体"/>
          <w:sz w:val="28"/>
          <w:szCs w:val="28"/>
          <w:lang w:eastAsia="zh-CN"/>
        </w:rPr>
        <w:t>东阿县</w:t>
      </w:r>
      <w:r>
        <w:rPr>
          <w:rFonts w:hint="eastAsia" w:ascii="楷体" w:hAnsi="楷体" w:eastAsia="楷体" w:cs="楷体"/>
          <w:sz w:val="28"/>
          <w:szCs w:val="28"/>
        </w:rPr>
        <w:t>环境保护局</w:t>
      </w:r>
      <w:r>
        <w:rPr>
          <w:rFonts w:hint="eastAsia" w:ascii="楷体" w:hAnsi="楷体" w:eastAsia="楷体" w:cs="楷体"/>
          <w:sz w:val="28"/>
          <w:szCs w:val="28"/>
          <w:lang w:eastAsia="zh-CN"/>
        </w:rPr>
        <w:t>东环报告表</w:t>
      </w:r>
      <w:r>
        <w:rPr>
          <w:rFonts w:hint="eastAsia" w:ascii="楷体" w:hAnsi="楷体" w:eastAsia="楷体" w:cs="楷体"/>
          <w:sz w:val="28"/>
          <w:szCs w:val="28"/>
        </w:rPr>
        <w:t>[201</w:t>
      </w:r>
      <w:r>
        <w:rPr>
          <w:rFonts w:hint="eastAsia" w:ascii="楷体" w:hAnsi="楷体" w:eastAsia="楷体" w:cs="楷体"/>
          <w:sz w:val="28"/>
          <w:szCs w:val="28"/>
          <w:lang w:val="en-US" w:eastAsia="zh-CN"/>
        </w:rPr>
        <w:t>6</w:t>
      </w:r>
      <w:r>
        <w:rPr>
          <w:rFonts w:hint="eastAsia" w:ascii="楷体" w:hAnsi="楷体" w:eastAsia="楷体" w:cs="楷体"/>
          <w:sz w:val="28"/>
          <w:szCs w:val="28"/>
        </w:rPr>
        <w:t>]</w:t>
      </w:r>
      <w:r>
        <w:rPr>
          <w:rFonts w:hint="eastAsia" w:ascii="楷体" w:hAnsi="楷体" w:eastAsia="楷体" w:cs="楷体"/>
          <w:sz w:val="28"/>
          <w:szCs w:val="28"/>
          <w:lang w:val="en-US" w:eastAsia="zh-CN"/>
        </w:rPr>
        <w:t>55</w:t>
      </w:r>
      <w:r>
        <w:rPr>
          <w:rFonts w:hint="eastAsia" w:ascii="楷体" w:hAnsi="楷体" w:eastAsia="楷体" w:cs="楷体"/>
          <w:sz w:val="28"/>
          <w:szCs w:val="28"/>
        </w:rPr>
        <w:t>号对其进行了审批。2018年</w:t>
      </w:r>
      <w:r>
        <w:rPr>
          <w:rFonts w:hint="eastAsia" w:ascii="楷体" w:hAnsi="楷体" w:eastAsia="楷体" w:cs="楷体"/>
          <w:sz w:val="28"/>
          <w:szCs w:val="28"/>
          <w:lang w:val="en-US" w:eastAsia="zh-CN"/>
        </w:rPr>
        <w:t>10</w:t>
      </w:r>
      <w:r>
        <w:rPr>
          <w:rFonts w:hint="eastAsia" w:ascii="楷体" w:hAnsi="楷体" w:eastAsia="楷体" w:cs="楷体"/>
          <w:sz w:val="28"/>
          <w:szCs w:val="28"/>
        </w:rPr>
        <w:t>月</w:t>
      </w:r>
      <w:r>
        <w:rPr>
          <w:rFonts w:hint="eastAsia" w:ascii="楷体" w:hAnsi="楷体" w:eastAsia="楷体" w:cs="楷体"/>
          <w:sz w:val="28"/>
          <w:szCs w:val="28"/>
          <w:lang w:val="en-US" w:eastAsia="zh-CN"/>
        </w:rPr>
        <w:t>19</w:t>
      </w:r>
      <w:r>
        <w:rPr>
          <w:rFonts w:hint="eastAsia" w:ascii="楷体" w:hAnsi="楷体" w:eastAsia="楷体" w:cs="楷体"/>
          <w:sz w:val="28"/>
          <w:szCs w:val="28"/>
        </w:rPr>
        <w:t>日-</w:t>
      </w:r>
      <w:r>
        <w:rPr>
          <w:rFonts w:hint="eastAsia" w:ascii="楷体" w:hAnsi="楷体" w:eastAsia="楷体" w:cs="楷体"/>
          <w:sz w:val="28"/>
          <w:szCs w:val="28"/>
          <w:lang w:val="en-US" w:eastAsia="zh-CN"/>
        </w:rPr>
        <w:t>20</w:t>
      </w:r>
      <w:r>
        <w:rPr>
          <w:rFonts w:hint="eastAsia" w:ascii="楷体" w:hAnsi="楷体" w:eastAsia="楷体" w:cs="楷体"/>
          <w:sz w:val="28"/>
          <w:szCs w:val="28"/>
        </w:rPr>
        <w:t>日由山东聊和环保科技有限公司对项目进行了环保验收监测，根据验收监测结果和现场检查情况编制了本项目验收监测报告。</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（三）投资情况</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项目实际总投资</w:t>
      </w:r>
      <w:r>
        <w:rPr>
          <w:rFonts w:hint="eastAsia" w:ascii="楷体" w:hAnsi="楷体" w:eastAsia="楷体" w:cs="楷体"/>
          <w:sz w:val="28"/>
          <w:szCs w:val="28"/>
          <w:lang w:val="en-US" w:eastAsia="zh-CN"/>
        </w:rPr>
        <w:t>3077.42</w:t>
      </w:r>
      <w:r>
        <w:rPr>
          <w:rFonts w:hint="eastAsia" w:ascii="楷体" w:hAnsi="楷体" w:eastAsia="楷体" w:cs="楷体"/>
          <w:sz w:val="28"/>
          <w:szCs w:val="28"/>
        </w:rPr>
        <w:t>万元，其中环保投资</w:t>
      </w:r>
      <w:r>
        <w:rPr>
          <w:rFonts w:hint="eastAsia" w:ascii="楷体" w:hAnsi="楷体" w:eastAsia="楷体" w:cs="楷体"/>
          <w:sz w:val="28"/>
          <w:szCs w:val="28"/>
          <w:lang w:val="en-US" w:eastAsia="zh-CN"/>
        </w:rPr>
        <w:t>80</w:t>
      </w:r>
      <w:r>
        <w:rPr>
          <w:rFonts w:hint="eastAsia" w:ascii="楷体" w:hAnsi="楷体" w:eastAsia="楷体" w:cs="楷体"/>
          <w:sz w:val="28"/>
          <w:szCs w:val="28"/>
        </w:rPr>
        <w:t>万元。占总投资</w:t>
      </w:r>
      <w:r>
        <w:rPr>
          <w:rFonts w:hint="eastAsia" w:ascii="楷体" w:hAnsi="楷体" w:eastAsia="楷体" w:cs="楷体"/>
          <w:sz w:val="28"/>
          <w:szCs w:val="28"/>
          <w:lang w:val="en-US" w:eastAsia="zh-CN"/>
        </w:rPr>
        <w:t>2.6</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（四）验收范围</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本次验收的范围为</w:t>
      </w:r>
      <w:r>
        <w:rPr>
          <w:rFonts w:hint="eastAsia" w:ascii="楷体" w:hAnsi="楷体" w:eastAsia="楷体" w:cs="楷体"/>
          <w:sz w:val="28"/>
          <w:szCs w:val="28"/>
          <w:lang w:eastAsia="zh-CN"/>
        </w:rPr>
        <w:t>年产</w:t>
      </w:r>
      <w:r>
        <w:rPr>
          <w:rFonts w:hint="eastAsia" w:ascii="楷体" w:hAnsi="楷体" w:eastAsia="楷体" w:cs="楷体"/>
          <w:sz w:val="28"/>
          <w:szCs w:val="28"/>
          <w:lang w:val="en-US" w:eastAsia="zh-CN"/>
        </w:rPr>
        <w:t>300</w:t>
      </w:r>
      <w:r>
        <w:rPr>
          <w:rFonts w:hint="eastAsia" w:ascii="楷体" w:hAnsi="楷体" w:eastAsia="楷体" w:cs="楷体"/>
          <w:sz w:val="28"/>
          <w:szCs w:val="28"/>
          <w:lang w:eastAsia="zh-CN"/>
        </w:rPr>
        <w:t>吨</w:t>
      </w:r>
      <w:r>
        <w:rPr>
          <w:rFonts w:hint="eastAsia" w:ascii="楷体" w:hAnsi="楷体" w:eastAsia="楷体" w:cs="楷体"/>
          <w:sz w:val="28"/>
          <w:szCs w:val="28"/>
          <w:lang w:val="en-US" w:eastAsia="zh-CN"/>
        </w:rPr>
        <w:t>阿胶及阿胶系列产品</w:t>
      </w:r>
      <w:r>
        <w:rPr>
          <w:rFonts w:hint="eastAsia" w:ascii="楷体" w:hAnsi="楷体" w:eastAsia="楷体" w:cs="楷体"/>
          <w:sz w:val="28"/>
          <w:szCs w:val="28"/>
        </w:rPr>
        <w:t>。</w:t>
      </w:r>
    </w:p>
    <w:p>
      <w:pPr>
        <w:tabs>
          <w:tab w:val="left" w:pos="360"/>
        </w:tabs>
        <w:spacing w:line="360" w:lineRule="auto"/>
        <w:ind w:left="298" w:leftChars="142" w:firstLine="560" w:firstLineChars="200"/>
        <w:jc w:val="left"/>
        <w:rPr>
          <w:rFonts w:ascii="楷体" w:hAnsi="楷体" w:eastAsia="楷体" w:cs="楷体"/>
          <w:sz w:val="28"/>
          <w:szCs w:val="28"/>
        </w:rPr>
      </w:pPr>
      <w:r>
        <w:rPr>
          <w:rFonts w:hint="eastAsia" w:ascii="楷体" w:hAnsi="楷体" w:eastAsia="楷体" w:cs="楷体"/>
          <w:sz w:val="28"/>
          <w:szCs w:val="28"/>
        </w:rPr>
        <w:t>二、工程变更情况</w:t>
      </w:r>
    </w:p>
    <w:p>
      <w:pPr>
        <w:spacing w:line="360" w:lineRule="auto"/>
        <w:ind w:firstLine="840" w:firstLineChars="300"/>
        <w:jc w:val="left"/>
        <w:rPr>
          <w:rFonts w:ascii="楷体" w:hAnsi="楷体" w:eastAsia="楷体" w:cs="楷体"/>
          <w:sz w:val="28"/>
          <w:szCs w:val="28"/>
        </w:rPr>
      </w:pPr>
      <w:r>
        <w:rPr>
          <w:rFonts w:hint="eastAsia" w:ascii="楷体" w:hAnsi="楷体" w:eastAsia="楷体" w:cs="楷体"/>
          <w:sz w:val="28"/>
          <w:szCs w:val="28"/>
        </w:rPr>
        <w:t>经现场验收核查，本项目较环评及环评批复基本没有变化，未发生重大变动。</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环境保护设施落实情况</w:t>
      </w:r>
    </w:p>
    <w:p>
      <w:pPr>
        <w:pStyle w:val="11"/>
        <w:spacing w:before="156" w:beforeLines="50" w:line="360" w:lineRule="auto"/>
        <w:ind w:left="141" w:leftChars="67" w:firstLine="280" w:firstLineChars="100"/>
        <w:rPr>
          <w:rFonts w:ascii="楷体" w:hAnsi="楷体" w:eastAsia="楷体" w:cs="楷体"/>
          <w:sz w:val="28"/>
          <w:szCs w:val="28"/>
        </w:rPr>
      </w:pPr>
      <w:r>
        <w:rPr>
          <w:rFonts w:hint="eastAsia" w:ascii="楷体" w:hAnsi="楷体" w:eastAsia="楷体" w:cs="楷体"/>
          <w:sz w:val="28"/>
          <w:szCs w:val="28"/>
        </w:rPr>
        <w:t>（一）废水污染源及其治理措施</w:t>
      </w:r>
    </w:p>
    <w:p>
      <w:pPr>
        <w:widowControl/>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废水主要为焯皮废水、擦胶废水、洗瓶废水、设备清洗废水、地面冲洗废水、蒸汽冷凝水、水处理浓水及生活污水。蒸汽冷凝水</w:t>
      </w:r>
      <w:r>
        <w:rPr>
          <w:rFonts w:hint="default" w:ascii="楷体" w:hAnsi="楷体" w:eastAsia="楷体" w:cs="楷体"/>
          <w:sz w:val="28"/>
          <w:szCs w:val="28"/>
          <w:lang w:val="en-US" w:eastAsia="zh-CN"/>
        </w:rPr>
        <w:t>为清洁下水，经雨水管道排出。其余污水经厂区污水处理设施处理后进入市政污水管网，由</w:t>
      </w:r>
      <w:r>
        <w:rPr>
          <w:rFonts w:hint="default" w:ascii="楷体" w:hAnsi="楷体" w:eastAsia="楷体" w:cs="楷体"/>
          <w:sz w:val="28"/>
          <w:szCs w:val="28"/>
          <w:lang w:eastAsia="zh-CN"/>
        </w:rPr>
        <w:t>东阿县国环污水处理有限公司进行处理</w:t>
      </w:r>
      <w:r>
        <w:rPr>
          <w:rFonts w:hint="default" w:ascii="楷体" w:hAnsi="楷体" w:eastAsia="楷体" w:cs="楷体"/>
          <w:sz w:val="28"/>
          <w:szCs w:val="28"/>
          <w:lang w:val="en-US" w:eastAsia="zh-CN"/>
        </w:rPr>
        <w:t>。</w:t>
      </w:r>
    </w:p>
    <w:p>
      <w:pPr>
        <w:widowControl/>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（二）废气污染源及其治理措施</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本项目废气主要为阿胶熬制提取工序产生的异味、阿胶块及辅料粉碎粉碎过程产生的少量粉尘、职工食堂油烟废气、燃料废气及污水处理设施产生的恶臭等。食堂油烟经油烟净化器处理后经过高于房顶1.5m排气筒排放。其他废气通过加强通风，降低对周围环境的影响。</w:t>
      </w:r>
    </w:p>
    <w:p>
      <w:pPr>
        <w:spacing w:line="360" w:lineRule="auto"/>
        <w:ind w:firstLine="560" w:firstLineChars="200"/>
        <w:rPr>
          <w:rFonts w:ascii="楷体" w:hAnsi="楷体" w:eastAsia="楷体" w:cs="楷体"/>
          <w:sz w:val="28"/>
          <w:szCs w:val="28"/>
        </w:rPr>
      </w:pPr>
      <w:r>
        <w:rPr>
          <w:rFonts w:hint="eastAsia" w:ascii="楷体" w:hAnsi="楷体" w:eastAsia="楷体" w:cs="楷体"/>
          <w:sz w:val="28"/>
          <w:szCs w:val="28"/>
        </w:rPr>
        <w:t>（三）噪声</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 xml:space="preserve"> 本项目噪声源</w:t>
      </w:r>
      <w:r>
        <w:rPr>
          <w:rFonts w:hint="eastAsia" w:ascii="楷体" w:hAnsi="楷体" w:eastAsia="楷体" w:cs="楷体"/>
          <w:sz w:val="28"/>
          <w:szCs w:val="28"/>
          <w:lang w:val="en-US" w:eastAsia="zh-CN"/>
        </w:rPr>
        <w:t>主要为切胶机、粉碎机、包装机、空调压缩机等机械设备运行时产生的机械噪声。通过基础减震，车间隔声，降低对周围环境的影响。</w:t>
      </w:r>
    </w:p>
    <w:p>
      <w:pPr>
        <w:pStyle w:val="8"/>
        <w:numPr>
          <w:ilvl w:val="0"/>
          <w:numId w:val="2"/>
        </w:numPr>
        <w:ind w:firstLine="560"/>
        <w:rPr>
          <w:rFonts w:ascii="楷体" w:hAnsi="楷体" w:eastAsia="楷体" w:cs="楷体"/>
        </w:rPr>
      </w:pPr>
      <w:r>
        <w:rPr>
          <w:rFonts w:hint="eastAsia" w:ascii="楷体" w:hAnsi="楷体" w:eastAsia="楷体" w:cs="楷体"/>
        </w:rPr>
        <w:t>固体废物</w:t>
      </w:r>
    </w:p>
    <w:p>
      <w:pPr>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val="en-US" w:eastAsia="zh-CN"/>
        </w:rPr>
        <w:t>项目产生的固体废物主要包括生产过程产生的滤渣、浮沫、杂质，职工生活垃圾、废包装材料、水处理设备产生的废活性炭、废反渗透膜、污泥等。滤渣、浮沫、杂质由饲料厂回收利用；废包装材料外卖至废品回收站；废活性炭、废反渗透膜由供货厂家回收利用；污水处理站污泥、生活垃圾由当地环卫部门统一清运作无害化处理。</w:t>
      </w:r>
    </w:p>
    <w:p>
      <w:pPr>
        <w:pStyle w:val="11"/>
        <w:numPr>
          <w:ilvl w:val="0"/>
          <w:numId w:val="1"/>
        </w:numPr>
        <w:spacing w:line="360" w:lineRule="auto"/>
        <w:ind w:firstLineChars="0"/>
        <w:jc w:val="left"/>
        <w:rPr>
          <w:rFonts w:ascii="楷体" w:hAnsi="楷体" w:eastAsia="楷体" w:cs="楷体"/>
          <w:sz w:val="28"/>
          <w:szCs w:val="28"/>
        </w:rPr>
      </w:pPr>
      <w:r>
        <w:rPr>
          <w:rFonts w:hint="eastAsia" w:ascii="楷体" w:hAnsi="楷体" w:eastAsia="楷体" w:cs="楷体"/>
          <w:sz w:val="28"/>
          <w:szCs w:val="28"/>
        </w:rPr>
        <w:t>验收监测结果</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（一）环保设施运行检测结果</w:t>
      </w:r>
    </w:p>
    <w:p>
      <w:pPr>
        <w:widowControl/>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山东聊和环保科技有限公司出具的《</w:t>
      </w:r>
      <w:r>
        <w:rPr>
          <w:rFonts w:hint="eastAsia" w:ascii="楷体" w:hAnsi="楷体" w:eastAsia="楷体" w:cs="楷体"/>
          <w:sz w:val="28"/>
          <w:szCs w:val="28"/>
          <w:lang w:val="en-US" w:eastAsia="zh-CN"/>
        </w:rPr>
        <w:t>东阿县御颜堂阿胶制品有限公司阿胶及阿胶系列产品生产项目</w:t>
      </w:r>
      <w:r>
        <w:rPr>
          <w:rFonts w:hint="eastAsia" w:ascii="楷体" w:hAnsi="楷体" w:eastAsia="楷体" w:cs="楷体"/>
          <w:sz w:val="28"/>
          <w:szCs w:val="28"/>
        </w:rPr>
        <w:t>竣工环境保护验收监测报告》监测结果表明：</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1.废气</w:t>
      </w:r>
    </w:p>
    <w:p>
      <w:pPr>
        <w:spacing w:line="360" w:lineRule="auto"/>
        <w:ind w:firstLine="560" w:firstLineChars="200"/>
        <w:jc w:val="left"/>
        <w:rPr>
          <w:rFonts w:ascii="楷体" w:hAnsi="楷体" w:eastAsia="楷体" w:cs="楷体"/>
          <w:sz w:val="28"/>
          <w:szCs w:val="28"/>
          <w:lang w:val="zh-CN"/>
        </w:rPr>
      </w:pPr>
      <w:r>
        <w:rPr>
          <w:rFonts w:hint="eastAsia" w:ascii="楷体" w:hAnsi="楷体" w:eastAsia="楷体" w:cs="楷体"/>
          <w:sz w:val="28"/>
          <w:szCs w:val="28"/>
          <w:lang w:val="zh-CN" w:eastAsia="zh-CN"/>
        </w:rPr>
        <w:t>验收监测期间，食堂油烟的最大排放浓度为1.29mg/m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，排放速率最大为6.56×10</w:t>
      </w:r>
      <w:r>
        <w:rPr>
          <w:rFonts w:hint="eastAsia" w:ascii="楷体" w:hAnsi="楷体" w:eastAsia="楷体" w:cs="楷体"/>
          <w:sz w:val="28"/>
          <w:szCs w:val="28"/>
          <w:vertAlign w:val="superscript"/>
          <w:lang w:val="zh-CN" w:eastAsia="zh-CN"/>
        </w:rPr>
        <w:t>-4</w:t>
      </w:r>
      <w:r>
        <w:rPr>
          <w:rFonts w:hint="eastAsia" w:ascii="楷体" w:hAnsi="楷体" w:eastAsia="楷体" w:cs="楷体"/>
          <w:sz w:val="28"/>
          <w:szCs w:val="28"/>
          <w:lang w:val="zh-CN" w:eastAsia="zh-CN"/>
        </w:rPr>
        <w:t>kg/h，能够满足《饮食业油烟排放标准》（DB37/597-2006）标准。无组织臭气小时浓度最高为18，无组织颗粒物小时浓度最高为0.455mg/m</w:t>
      </w:r>
      <w:r>
        <w:rPr>
          <w:rFonts w:hint="eastAsia" w:ascii="楷体" w:hAnsi="楷体" w:eastAsia="楷体" w:cs="楷体"/>
          <w:sz w:val="28"/>
          <w:szCs w:val="28"/>
          <w:vertAlign w:val="superscript"/>
          <w:lang w:val="zh-CN" w:eastAsia="zh-CN"/>
        </w:rPr>
        <w:t>3</w:t>
      </w:r>
      <w:r>
        <w:rPr>
          <w:rFonts w:hint="eastAsia" w:ascii="楷体" w:hAnsi="楷体" w:eastAsia="楷体" w:cs="楷体"/>
          <w:sz w:val="28"/>
          <w:szCs w:val="28"/>
          <w:lang w:val="zh-CN" w:eastAsia="zh-CN"/>
        </w:rPr>
        <w:t>，能够满足恶臭排放执行《恶臭污染物排放标准》（GB14554-93）表1标准要求、《大气污染物综合排放标准》（GB16297-1996）表2中的相关无组织排放标准要求。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2. 废水</w:t>
      </w:r>
    </w:p>
    <w:p>
      <w:pPr>
        <w:spacing w:line="360" w:lineRule="auto"/>
        <w:ind w:firstLine="560" w:firstLineChars="200"/>
        <w:jc w:val="left"/>
        <w:rPr>
          <w:rFonts w:ascii="楷体" w:hAnsi="楷体" w:eastAsia="楷体" w:cs="楷体"/>
          <w:sz w:val="28"/>
          <w:szCs w:val="28"/>
          <w:lang w:val="zh-CN"/>
        </w:rPr>
      </w:pPr>
      <w:r>
        <w:rPr>
          <w:rFonts w:hint="default" w:ascii="楷体" w:hAnsi="楷体" w:eastAsia="楷体" w:cs="楷体"/>
          <w:sz w:val="28"/>
          <w:szCs w:val="28"/>
          <w:lang w:val="zh-CN" w:eastAsia="zh-CN"/>
        </w:rPr>
        <w:t>验收监测期间，pH范围为7.26</w:t>
      </w:r>
      <w:r>
        <w:rPr>
          <w:rFonts w:hint="default" w:ascii="Times New Roman" w:hAnsi="Times New Roman" w:eastAsia="楷体" w:cs="Times New Roman"/>
          <w:sz w:val="28"/>
          <w:szCs w:val="28"/>
          <w:lang w:val="zh-CN" w:eastAsia="zh-CN"/>
        </w:rPr>
        <w:t>~</w:t>
      </w:r>
      <w:r>
        <w:rPr>
          <w:rFonts w:hint="default" w:ascii="楷体" w:hAnsi="楷体" w:eastAsia="楷体" w:cs="楷体"/>
          <w:sz w:val="28"/>
          <w:szCs w:val="28"/>
          <w:lang w:val="zh-CN" w:eastAsia="zh-CN"/>
        </w:rPr>
        <w:t>7.29之间，COD</w:t>
      </w:r>
      <w:r>
        <w:rPr>
          <w:rFonts w:hint="default" w:ascii="楷体" w:hAnsi="楷体" w:eastAsia="楷体" w:cs="楷体"/>
          <w:sz w:val="28"/>
          <w:szCs w:val="28"/>
          <w:vertAlign w:val="subscript"/>
          <w:lang w:val="zh-CN" w:eastAsia="zh-CN"/>
        </w:rPr>
        <w:t>Cr</w:t>
      </w:r>
      <w:r>
        <w:rPr>
          <w:rFonts w:hint="default" w:ascii="楷体" w:hAnsi="楷体" w:eastAsia="楷体" w:cs="楷体"/>
          <w:sz w:val="28"/>
          <w:szCs w:val="28"/>
          <w:lang w:val="zh-CN" w:eastAsia="zh-CN"/>
        </w:rPr>
        <w:t>、BOD</w:t>
      </w:r>
      <w:r>
        <w:rPr>
          <w:rFonts w:hint="default" w:ascii="楷体" w:hAnsi="楷体" w:eastAsia="楷体" w:cs="楷体"/>
          <w:sz w:val="28"/>
          <w:szCs w:val="28"/>
          <w:vertAlign w:val="subscript"/>
          <w:lang w:val="zh-CN" w:eastAsia="zh-CN"/>
        </w:rPr>
        <w:t>5</w:t>
      </w:r>
      <w:r>
        <w:rPr>
          <w:rFonts w:hint="default" w:ascii="楷体" w:hAnsi="楷体" w:eastAsia="楷体" w:cs="楷体"/>
          <w:sz w:val="28"/>
          <w:szCs w:val="28"/>
          <w:lang w:val="zh-CN" w:eastAsia="zh-CN"/>
        </w:rPr>
        <w:t>、</w:t>
      </w:r>
      <w:r>
        <w:rPr>
          <w:rFonts w:hint="default" w:ascii="楷体" w:hAnsi="楷体" w:eastAsia="楷体" w:cs="楷体"/>
          <w:sz w:val="28"/>
          <w:szCs w:val="28"/>
          <w:lang w:val="zh-CN"/>
        </w:rPr>
        <w:t>氨氮</w:t>
      </w:r>
      <w:r>
        <w:rPr>
          <w:rFonts w:hint="default" w:ascii="楷体" w:hAnsi="楷体" w:eastAsia="楷体" w:cs="楷体"/>
          <w:sz w:val="28"/>
          <w:szCs w:val="28"/>
          <w:lang w:val="zh-CN" w:eastAsia="zh-CN"/>
        </w:rPr>
        <w:t>、SS、全盐量</w:t>
      </w:r>
      <w:r>
        <w:rPr>
          <w:rFonts w:hint="default" w:ascii="楷体" w:hAnsi="楷体" w:eastAsia="楷体" w:cs="楷体"/>
          <w:sz w:val="28"/>
          <w:szCs w:val="28"/>
          <w:lang w:val="zh-CN"/>
        </w:rPr>
        <w:t>最</w:t>
      </w:r>
      <w:r>
        <w:rPr>
          <w:rFonts w:hint="default" w:ascii="楷体" w:hAnsi="楷体" w:eastAsia="楷体" w:cs="楷体"/>
          <w:sz w:val="28"/>
          <w:szCs w:val="28"/>
          <w:lang w:val="zh-CN" w:eastAsia="zh-CN"/>
        </w:rPr>
        <w:t>高排放浓度分别</w:t>
      </w:r>
      <w:r>
        <w:rPr>
          <w:rFonts w:hint="default" w:ascii="楷体" w:hAnsi="楷体" w:eastAsia="楷体" w:cs="楷体"/>
          <w:sz w:val="28"/>
          <w:szCs w:val="28"/>
          <w:lang w:val="zh-CN"/>
        </w:rPr>
        <w:t>为</w:t>
      </w:r>
      <w:r>
        <w:rPr>
          <w:rFonts w:hint="default" w:ascii="楷体" w:hAnsi="楷体" w:eastAsia="楷体" w:cs="楷体"/>
          <w:sz w:val="28"/>
          <w:szCs w:val="28"/>
          <w:lang w:val="zh-CN" w:eastAsia="zh-CN"/>
        </w:rPr>
        <w:t>50</w:t>
      </w:r>
      <w:r>
        <w:rPr>
          <w:rFonts w:hint="default" w:ascii="楷体" w:hAnsi="楷体" w:eastAsia="楷体" w:cs="楷体"/>
          <w:sz w:val="28"/>
          <w:szCs w:val="28"/>
          <w:lang w:val="zh-CN"/>
        </w:rPr>
        <w:t>mg/L</w:t>
      </w:r>
      <w:r>
        <w:rPr>
          <w:rFonts w:hint="default" w:ascii="楷体" w:hAnsi="楷体" w:eastAsia="楷体" w:cs="楷体"/>
          <w:sz w:val="28"/>
          <w:szCs w:val="28"/>
          <w:lang w:val="zh-CN" w:eastAsia="zh-CN"/>
        </w:rPr>
        <w:t>、13.7</w:t>
      </w:r>
      <w:r>
        <w:rPr>
          <w:rFonts w:hint="default" w:ascii="楷体" w:hAnsi="楷体" w:eastAsia="楷体" w:cs="楷体"/>
          <w:sz w:val="28"/>
          <w:szCs w:val="28"/>
          <w:lang w:val="zh-CN"/>
        </w:rPr>
        <w:t>mg/L</w:t>
      </w:r>
      <w:r>
        <w:rPr>
          <w:rFonts w:hint="default" w:ascii="楷体" w:hAnsi="楷体" w:eastAsia="楷体" w:cs="楷体"/>
          <w:sz w:val="28"/>
          <w:szCs w:val="28"/>
          <w:lang w:val="zh-CN" w:eastAsia="zh-CN"/>
        </w:rPr>
        <w:t>、0.997</w:t>
      </w:r>
      <w:r>
        <w:rPr>
          <w:rFonts w:hint="default" w:ascii="楷体" w:hAnsi="楷体" w:eastAsia="楷体" w:cs="楷体"/>
          <w:sz w:val="28"/>
          <w:szCs w:val="28"/>
          <w:lang w:val="zh-CN"/>
        </w:rPr>
        <w:t>mg/L</w:t>
      </w:r>
      <w:r>
        <w:rPr>
          <w:rFonts w:hint="default" w:ascii="楷体" w:hAnsi="楷体" w:eastAsia="楷体" w:cs="楷体"/>
          <w:sz w:val="28"/>
          <w:szCs w:val="28"/>
          <w:lang w:val="zh-CN" w:eastAsia="zh-CN"/>
        </w:rPr>
        <w:t>、65</w:t>
      </w:r>
      <w:r>
        <w:rPr>
          <w:rFonts w:hint="default" w:ascii="楷体" w:hAnsi="楷体" w:eastAsia="楷体" w:cs="楷体"/>
          <w:sz w:val="28"/>
          <w:szCs w:val="28"/>
          <w:lang w:val="zh-CN"/>
        </w:rPr>
        <w:t>mg/L</w:t>
      </w:r>
      <w:r>
        <w:rPr>
          <w:rFonts w:hint="default" w:ascii="楷体" w:hAnsi="楷体" w:eastAsia="楷体" w:cs="楷体"/>
          <w:sz w:val="28"/>
          <w:szCs w:val="28"/>
          <w:lang w:val="zh-CN" w:eastAsia="zh-CN"/>
        </w:rPr>
        <w:t>、1256</w:t>
      </w:r>
      <w:r>
        <w:rPr>
          <w:rFonts w:hint="default" w:ascii="楷体" w:hAnsi="楷体" w:eastAsia="楷体" w:cs="楷体"/>
          <w:sz w:val="28"/>
          <w:szCs w:val="28"/>
          <w:lang w:val="zh-CN"/>
        </w:rPr>
        <w:t>mg/L</w:t>
      </w:r>
      <w:r>
        <w:rPr>
          <w:rFonts w:hint="default" w:ascii="楷体" w:hAnsi="楷体" w:eastAsia="楷体" w:cs="楷体"/>
          <w:sz w:val="28"/>
          <w:szCs w:val="28"/>
          <w:lang w:val="zh-CN" w:eastAsia="zh-CN"/>
        </w:rPr>
        <w:t>，</w:t>
      </w:r>
      <w:r>
        <w:rPr>
          <w:rFonts w:hint="default" w:ascii="楷体" w:hAnsi="楷体" w:eastAsia="楷体" w:cs="楷体"/>
          <w:sz w:val="28"/>
          <w:szCs w:val="28"/>
          <w:lang w:val="zh-CN"/>
        </w:rPr>
        <w:t>均</w:t>
      </w:r>
      <w:r>
        <w:rPr>
          <w:rFonts w:hint="default" w:ascii="楷体" w:hAnsi="楷体" w:eastAsia="楷体" w:cs="楷体"/>
          <w:sz w:val="28"/>
          <w:szCs w:val="28"/>
          <w:lang w:val="zh-CN" w:eastAsia="zh-CN"/>
        </w:rPr>
        <w:t>满足《污水排入城镇下水道水质标准》（GB/T31962-2015）表1中A等级标准及东阿县国环污水处理有限公司进水水质要求。</w:t>
      </w:r>
    </w:p>
    <w:p>
      <w:pPr>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3、噪声</w:t>
      </w:r>
    </w:p>
    <w:p>
      <w:pPr>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eastAsia="zh-CN"/>
        </w:rPr>
        <w:t>各</w:t>
      </w:r>
      <w:r>
        <w:rPr>
          <w:rFonts w:hint="default" w:ascii="楷体" w:hAnsi="楷体" w:eastAsia="楷体" w:cs="楷体"/>
          <w:sz w:val="28"/>
          <w:szCs w:val="28"/>
        </w:rPr>
        <w:t>监验收监测期间，</w:t>
      </w:r>
      <w:r>
        <w:rPr>
          <w:rFonts w:hint="default" w:ascii="楷体" w:hAnsi="楷体" w:eastAsia="楷体" w:cs="楷体"/>
          <w:sz w:val="28"/>
          <w:szCs w:val="28"/>
          <w:lang w:eastAsia="zh-CN"/>
        </w:rPr>
        <w:t>各</w:t>
      </w:r>
      <w:r>
        <w:rPr>
          <w:rFonts w:hint="default" w:ascii="楷体" w:hAnsi="楷体" w:eastAsia="楷体" w:cs="楷体"/>
          <w:sz w:val="28"/>
          <w:szCs w:val="28"/>
        </w:rPr>
        <w:t>监测点位昼间噪声</w:t>
      </w:r>
      <w:r>
        <w:rPr>
          <w:rFonts w:hint="default" w:ascii="楷体" w:hAnsi="楷体" w:eastAsia="楷体" w:cs="楷体"/>
          <w:sz w:val="28"/>
          <w:szCs w:val="28"/>
          <w:lang w:eastAsia="zh-CN"/>
        </w:rPr>
        <w:t>在</w:t>
      </w:r>
      <w:r>
        <w:rPr>
          <w:rFonts w:hint="default" w:ascii="楷体" w:hAnsi="楷体" w:eastAsia="楷体" w:cs="楷体"/>
          <w:sz w:val="28"/>
          <w:szCs w:val="28"/>
          <w:lang w:val="en-US" w:eastAsia="zh-CN"/>
        </w:rPr>
        <w:t>58.1</w:t>
      </w:r>
      <w:r>
        <w:rPr>
          <w:rFonts w:hint="default" w:ascii="楷体" w:hAnsi="楷体" w:eastAsia="楷体" w:cs="楷体"/>
          <w:sz w:val="28"/>
          <w:szCs w:val="28"/>
        </w:rPr>
        <w:t>dB(A)-</w:t>
      </w:r>
      <w:r>
        <w:rPr>
          <w:rFonts w:hint="default" w:ascii="楷体" w:hAnsi="楷体" w:eastAsia="楷体" w:cs="楷体"/>
          <w:sz w:val="28"/>
          <w:szCs w:val="28"/>
          <w:lang w:val="en-US" w:eastAsia="zh-CN"/>
        </w:rPr>
        <w:t>62.1</w:t>
      </w:r>
      <w:r>
        <w:rPr>
          <w:rFonts w:hint="default" w:ascii="楷体" w:hAnsi="楷体" w:eastAsia="楷体" w:cs="楷体"/>
          <w:sz w:val="28"/>
          <w:szCs w:val="28"/>
        </w:rPr>
        <w:t>dB(A)之间</w:t>
      </w:r>
      <w:r>
        <w:rPr>
          <w:rFonts w:hint="default" w:ascii="楷体" w:hAnsi="楷体" w:eastAsia="楷体" w:cs="楷体"/>
          <w:sz w:val="28"/>
          <w:szCs w:val="28"/>
          <w:lang w:eastAsia="zh-CN"/>
        </w:rPr>
        <w:t>，夜间不生产，检测结果符合</w:t>
      </w:r>
      <w:r>
        <w:rPr>
          <w:rFonts w:hint="default" w:ascii="楷体" w:hAnsi="楷体" w:eastAsia="楷体" w:cs="楷体"/>
          <w:sz w:val="28"/>
          <w:szCs w:val="28"/>
        </w:rPr>
        <w:t>《工业企业厂界环境噪声排放标准》（GB12348</w:t>
      </w:r>
      <w:r>
        <w:rPr>
          <w:rFonts w:hint="default" w:ascii="楷体" w:hAnsi="楷体" w:eastAsia="楷体" w:cs="楷体"/>
          <w:sz w:val="28"/>
          <w:szCs w:val="28"/>
          <w:lang w:val="en-US" w:eastAsia="zh-CN"/>
        </w:rPr>
        <w:t>-</w:t>
      </w:r>
      <w:r>
        <w:rPr>
          <w:rFonts w:hint="default" w:ascii="楷体" w:hAnsi="楷体" w:eastAsia="楷体" w:cs="楷体"/>
          <w:sz w:val="28"/>
          <w:szCs w:val="28"/>
        </w:rPr>
        <w:t>2008）中的</w:t>
      </w:r>
      <w:r>
        <w:rPr>
          <w:rFonts w:hint="default" w:ascii="楷体" w:hAnsi="楷体" w:eastAsia="楷体" w:cs="楷体"/>
          <w:sz w:val="28"/>
          <w:szCs w:val="28"/>
          <w:lang w:val="en-US" w:eastAsia="zh-CN"/>
        </w:rPr>
        <w:t>3</w:t>
      </w:r>
      <w:r>
        <w:rPr>
          <w:rFonts w:hint="default" w:ascii="楷体" w:hAnsi="楷体" w:eastAsia="楷体" w:cs="楷体"/>
          <w:sz w:val="28"/>
          <w:szCs w:val="28"/>
        </w:rPr>
        <w:t>类标准限值。</w:t>
      </w:r>
    </w:p>
    <w:p>
      <w:pPr>
        <w:spacing w:before="156" w:beforeLines="50" w:line="360" w:lineRule="auto"/>
        <w:ind w:firstLine="548" w:firstLineChars="196"/>
        <w:rPr>
          <w:rFonts w:ascii="楷体" w:hAnsi="楷体" w:eastAsia="楷体" w:cs="楷体"/>
          <w:color w:val="FF0000"/>
          <w:sz w:val="28"/>
          <w:szCs w:val="28"/>
        </w:rPr>
      </w:pPr>
      <w:r>
        <w:rPr>
          <w:rFonts w:hint="eastAsia" w:ascii="楷体" w:hAnsi="楷体" w:eastAsia="楷体" w:cs="楷体"/>
          <w:sz w:val="28"/>
          <w:szCs w:val="28"/>
        </w:rPr>
        <w:t>4．固体废物</w:t>
      </w:r>
    </w:p>
    <w:p>
      <w:pPr>
        <w:spacing w:line="360" w:lineRule="auto"/>
        <w:ind w:firstLine="560" w:firstLineChars="200"/>
        <w:jc w:val="left"/>
        <w:rPr>
          <w:rFonts w:ascii="楷体" w:hAnsi="楷体" w:eastAsia="楷体" w:cs="楷体"/>
          <w:sz w:val="28"/>
          <w:szCs w:val="28"/>
        </w:rPr>
      </w:pPr>
      <w:r>
        <w:rPr>
          <w:rFonts w:hint="default" w:ascii="楷体" w:hAnsi="楷体" w:eastAsia="楷体" w:cs="楷体"/>
          <w:sz w:val="28"/>
          <w:szCs w:val="28"/>
          <w:lang w:val="en-US" w:eastAsia="zh-CN"/>
        </w:rPr>
        <w:t>项目产生的固体废物主要包括生产过程产生的滤渣、浮沫、杂质，职工生活垃圾、废包装材料、水处理设备产生的废活性炭、废反渗透膜、污泥等。滤渣、浮沫、杂质由饲料厂回收利用；废包装材料外卖至废品回收站；废活性炭、废反渗透膜由供货厂家回收利用；污水处理站污泥、生活垃圾由当地环卫部门统一清运作无害化处理</w:t>
      </w:r>
      <w:r>
        <w:rPr>
          <w:rFonts w:hint="eastAsia" w:ascii="楷体" w:hAnsi="楷体" w:eastAsia="楷体" w:cs="楷体"/>
          <w:sz w:val="28"/>
          <w:szCs w:val="28"/>
          <w:lang w:val="en-US" w:eastAsia="zh-CN"/>
        </w:rPr>
        <w:t>。</w:t>
      </w:r>
    </w:p>
    <w:p>
      <w:pPr>
        <w:spacing w:before="156" w:beforeLines="50" w:line="360" w:lineRule="auto"/>
        <w:ind w:firstLine="280" w:firstLineChars="100"/>
        <w:rPr>
          <w:rFonts w:ascii="楷体" w:hAnsi="楷体" w:eastAsia="楷体" w:cs="楷体"/>
          <w:color w:val="000000"/>
          <w:sz w:val="28"/>
          <w:szCs w:val="28"/>
        </w:rPr>
      </w:pPr>
      <w:r>
        <w:rPr>
          <w:rFonts w:hint="eastAsia" w:ascii="楷体" w:hAnsi="楷体" w:eastAsia="楷体" w:cs="楷体"/>
          <w:color w:val="000000"/>
          <w:sz w:val="28"/>
          <w:szCs w:val="28"/>
        </w:rPr>
        <w:t>（二）环境管理调查</w:t>
      </w:r>
    </w:p>
    <w:p>
      <w:pPr>
        <w:spacing w:line="360" w:lineRule="auto"/>
        <w:ind w:firstLine="560" w:firstLineChars="200"/>
        <w:rPr>
          <w:rFonts w:ascii="楷体" w:hAnsi="楷体" w:eastAsia="楷体" w:cs="楷体"/>
          <w:color w:val="000000"/>
          <w:sz w:val="28"/>
          <w:szCs w:val="28"/>
        </w:rPr>
      </w:pPr>
      <w:r>
        <w:rPr>
          <w:rFonts w:hint="eastAsia" w:ascii="楷体" w:hAnsi="楷体" w:eastAsia="楷体" w:cs="楷体"/>
          <w:sz w:val="28"/>
          <w:szCs w:val="28"/>
          <w:lang w:val="en-US" w:eastAsia="zh-CN"/>
        </w:rPr>
        <w:t>东阿县御颜堂阿胶制品有限公司</w:t>
      </w:r>
      <w:r>
        <w:rPr>
          <w:rFonts w:hint="eastAsia" w:ascii="楷体" w:hAnsi="楷体" w:eastAsia="楷体" w:cs="楷体"/>
          <w:color w:val="000000"/>
          <w:sz w:val="28"/>
          <w:szCs w:val="28"/>
        </w:rPr>
        <w:t>制定了《</w:t>
      </w:r>
      <w:r>
        <w:rPr>
          <w:rFonts w:hint="eastAsia" w:ascii="楷体" w:hAnsi="楷体" w:eastAsia="楷体" w:cs="楷体"/>
          <w:sz w:val="28"/>
          <w:szCs w:val="28"/>
          <w:lang w:val="en-US" w:eastAsia="zh-CN"/>
        </w:rPr>
        <w:t>东阿县御颜堂阿胶制品有限公司</w:t>
      </w:r>
      <w:r>
        <w:rPr>
          <w:rFonts w:hint="eastAsia" w:ascii="楷体" w:hAnsi="楷体" w:eastAsia="楷体" w:cs="楷体"/>
          <w:color w:val="000000"/>
          <w:sz w:val="28"/>
          <w:szCs w:val="28"/>
        </w:rPr>
        <w:t>环保管理制度》,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五、专家意见：</w:t>
      </w:r>
    </w:p>
    <w:p>
      <w:pPr>
        <w:spacing w:line="360" w:lineRule="auto"/>
        <w:ind w:firstLine="420" w:firstLineChars="150"/>
        <w:jc w:val="left"/>
        <w:rPr>
          <w:rFonts w:ascii="楷体" w:hAnsi="楷体" w:eastAsia="楷体" w:cs="楷体"/>
          <w:color w:val="000000" w:themeColor="text1"/>
          <w:sz w:val="28"/>
          <w:szCs w:val="28"/>
          <w14:textFill>
            <w14:solidFill>
              <w14:schemeClr w14:val="tx1"/>
            </w14:solidFill>
          </w14:textFill>
        </w:rPr>
      </w:pPr>
      <w:r>
        <w:rPr>
          <w:rFonts w:hint="eastAsia" w:ascii="楷体" w:hAnsi="楷体" w:eastAsia="楷体" w:cs="楷体"/>
          <w:color w:val="000000" w:themeColor="text1"/>
          <w:sz w:val="28"/>
          <w:szCs w:val="28"/>
          <w14:textFill>
            <w14:solidFill>
              <w14:schemeClr w14:val="tx1"/>
            </w14:solidFill>
          </w14:textFill>
        </w:rPr>
        <w:t>在今后企业环保工作中，建议企业落实以下要求。</w:t>
      </w:r>
    </w:p>
    <w:p>
      <w:pPr>
        <w:numPr>
          <w:ilvl w:val="0"/>
          <w:numId w:val="3"/>
        </w:numPr>
        <w:spacing w:line="360" w:lineRule="auto"/>
        <w:ind w:firstLine="420" w:firstLineChars="150"/>
        <w:jc w:val="left"/>
        <w:rPr>
          <w:rFonts w:hint="eastAsia" w:ascii="楷体" w:hAnsi="楷体" w:eastAsia="楷体" w:cs="楷体"/>
          <w:color w:val="auto"/>
          <w:sz w:val="28"/>
          <w:szCs w:val="28"/>
        </w:rPr>
      </w:pPr>
      <w:r>
        <w:rPr>
          <w:rFonts w:hint="eastAsia" w:eastAsia="楷体_GB2312"/>
          <w:color w:val="auto"/>
          <w:sz w:val="28"/>
          <w:szCs w:val="28"/>
          <w:lang w:eastAsia="zh-CN"/>
        </w:rPr>
        <w:t>污水处理站增加工艺流程标识。</w:t>
      </w:r>
    </w:p>
    <w:p>
      <w:pPr>
        <w:pStyle w:val="11"/>
        <w:numPr>
          <w:ilvl w:val="0"/>
          <w:numId w:val="3"/>
        </w:numPr>
        <w:spacing w:line="360" w:lineRule="auto"/>
        <w:ind w:firstLineChars="0"/>
        <w:jc w:val="left"/>
        <w:rPr>
          <w:rFonts w:ascii="楷体" w:hAnsi="楷体" w:eastAsia="楷体" w:cs="楷体"/>
          <w:color w:val="auto"/>
          <w:sz w:val="28"/>
          <w:szCs w:val="28"/>
        </w:rPr>
      </w:pPr>
      <w:r>
        <w:rPr>
          <w:rFonts w:hint="eastAsia" w:eastAsia="楷体_GB2312"/>
          <w:color w:val="auto"/>
          <w:kern w:val="2"/>
          <w:sz w:val="28"/>
          <w:szCs w:val="28"/>
          <w:lang w:eastAsia="zh-CN"/>
        </w:rPr>
        <w:t>建设固废暂存间，用于存放固体废物</w:t>
      </w:r>
      <w:r>
        <w:rPr>
          <w:rFonts w:hint="eastAsia" w:ascii="楷体" w:hAnsi="楷体" w:eastAsia="楷体" w:cs="楷体"/>
          <w:color w:val="auto"/>
          <w:sz w:val="28"/>
          <w:szCs w:val="28"/>
          <w:lang w:eastAsia="zh-CN"/>
        </w:rPr>
        <w:t>。</w:t>
      </w:r>
    </w:p>
    <w:p>
      <w:pPr>
        <w:pStyle w:val="11"/>
        <w:numPr>
          <w:ilvl w:val="0"/>
          <w:numId w:val="3"/>
        </w:numPr>
        <w:spacing w:line="360" w:lineRule="auto"/>
        <w:ind w:firstLineChars="0"/>
        <w:jc w:val="left"/>
        <w:rPr>
          <w:rFonts w:ascii="楷体" w:hAnsi="楷体" w:eastAsia="楷体" w:cs="楷体"/>
          <w:color w:val="auto"/>
          <w:sz w:val="28"/>
          <w:szCs w:val="28"/>
        </w:rPr>
      </w:pPr>
      <w:r>
        <w:rPr>
          <w:rFonts w:hint="eastAsia" w:ascii="Times New Roman" w:hAnsi="Times New Roman" w:eastAsia="楷体_GB2312" w:cs="Times New Roman"/>
          <w:color w:val="auto"/>
          <w:sz w:val="28"/>
          <w:szCs w:val="28"/>
        </w:rPr>
        <w:t>进一步规范验收监测</w:t>
      </w:r>
      <w:bookmarkStart w:id="0" w:name="_GoBack"/>
      <w:bookmarkEnd w:id="0"/>
      <w:r>
        <w:rPr>
          <w:rFonts w:hint="eastAsia" w:ascii="Times New Roman" w:hAnsi="Times New Roman" w:eastAsia="楷体_GB2312" w:cs="Times New Roman"/>
          <w:color w:val="auto"/>
          <w:sz w:val="28"/>
          <w:szCs w:val="28"/>
        </w:rPr>
        <w:t>报告编制内容。</w:t>
      </w:r>
    </w:p>
    <w:p>
      <w:pPr>
        <w:spacing w:line="360" w:lineRule="auto"/>
        <w:ind w:firstLine="420" w:firstLineChars="150"/>
        <w:jc w:val="left"/>
        <w:rPr>
          <w:rFonts w:ascii="楷体" w:hAnsi="楷体" w:eastAsia="楷体" w:cs="楷体"/>
          <w:sz w:val="28"/>
          <w:szCs w:val="28"/>
        </w:rPr>
      </w:pPr>
      <w:r>
        <w:rPr>
          <w:rFonts w:hint="eastAsia" w:ascii="楷体" w:hAnsi="楷体" w:eastAsia="楷体" w:cs="楷体"/>
          <w:sz w:val="28"/>
          <w:szCs w:val="28"/>
        </w:rPr>
        <w:t>六、验收结论</w:t>
      </w:r>
    </w:p>
    <w:p>
      <w:pPr>
        <w:spacing w:line="360" w:lineRule="auto"/>
        <w:ind w:firstLine="555"/>
        <w:rPr>
          <w:rFonts w:ascii="楷体" w:hAnsi="楷体" w:eastAsia="楷体" w:cs="楷体"/>
          <w:sz w:val="28"/>
          <w:szCs w:val="28"/>
        </w:rPr>
      </w:pPr>
      <w:r>
        <w:rPr>
          <w:rFonts w:hint="eastAsia" w:ascii="楷体" w:hAnsi="楷体" w:eastAsia="楷体" w:cs="楷体"/>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 w:hAnsi="楷体" w:eastAsia="楷体" w:cs="楷体"/>
          <w:sz w:val="28"/>
          <w:szCs w:val="28"/>
        </w:rPr>
      </w:pPr>
      <w:r>
        <w:rPr>
          <w:rFonts w:hint="eastAsia" w:ascii="楷体" w:hAnsi="楷体" w:eastAsia="楷体" w:cs="楷体"/>
          <w:sz w:val="28"/>
          <w:szCs w:val="28"/>
        </w:rPr>
        <w:t xml:space="preserve">鉴于项目符合国家和地方相关产业标准及准入要求，用地符合当地规划，环保设施与生产配套，验收期间各项监测指标满足国家相关排放标准，该项目通过环保验收。 </w:t>
      </w:r>
    </w:p>
    <w:p>
      <w:pPr>
        <w:spacing w:line="360" w:lineRule="auto"/>
        <w:jc w:val="left"/>
        <w:rPr>
          <w:rFonts w:ascii="楷体" w:hAnsi="楷体" w:eastAsia="楷体" w:cs="楷体"/>
          <w:sz w:val="28"/>
          <w:szCs w:val="28"/>
        </w:rPr>
      </w:pPr>
      <w:r>
        <w:rPr>
          <w:rFonts w:hint="eastAsia" w:ascii="楷体" w:hAnsi="楷体" w:eastAsia="楷体" w:cs="楷体"/>
          <w:sz w:val="28"/>
          <w:szCs w:val="28"/>
        </w:rPr>
        <w:t xml:space="preserve">  </w:t>
      </w:r>
    </w:p>
    <w:p>
      <w:pPr>
        <w:spacing w:line="360" w:lineRule="auto"/>
        <w:jc w:val="left"/>
        <w:rPr>
          <w:rFonts w:ascii="楷体" w:hAnsi="楷体" w:eastAsia="楷体" w:cs="楷体"/>
          <w:sz w:val="28"/>
          <w:szCs w:val="28"/>
        </w:rPr>
      </w:pPr>
    </w:p>
    <w:p>
      <w:pPr>
        <w:spacing w:line="360" w:lineRule="auto"/>
        <w:jc w:val="right"/>
        <w:rPr>
          <w:rFonts w:hint="eastAsia" w:ascii="楷体" w:hAnsi="楷体" w:eastAsia="楷体" w:cs="楷体"/>
          <w:sz w:val="28"/>
          <w:szCs w:val="28"/>
          <w:lang w:val="en-US" w:eastAsia="zh-CN"/>
        </w:rPr>
      </w:pPr>
      <w:r>
        <w:rPr>
          <w:rFonts w:hint="eastAsia" w:ascii="楷体" w:hAnsi="楷体" w:eastAsia="楷体" w:cs="楷体"/>
          <w:sz w:val="28"/>
          <w:szCs w:val="28"/>
          <w:lang w:val="en-US" w:eastAsia="zh-CN"/>
        </w:rPr>
        <w:t>东阿县御颜堂阿胶制品有限公司</w:t>
      </w:r>
    </w:p>
    <w:p>
      <w:pPr>
        <w:spacing w:line="360" w:lineRule="auto"/>
        <w:jc w:val="right"/>
      </w:pPr>
      <w:r>
        <w:rPr>
          <w:rFonts w:hint="eastAsia" w:ascii="楷体" w:hAnsi="楷体" w:eastAsia="楷体" w:cs="楷体"/>
          <w:sz w:val="28"/>
          <w:szCs w:val="28"/>
        </w:rPr>
        <w:t xml:space="preserve">                                2018年1</w:t>
      </w:r>
      <w:r>
        <w:rPr>
          <w:rFonts w:hint="eastAsia" w:ascii="楷体" w:hAnsi="楷体" w:eastAsia="楷体" w:cs="楷体"/>
          <w:sz w:val="28"/>
          <w:szCs w:val="28"/>
          <w:lang w:val="en-US" w:eastAsia="zh-CN"/>
        </w:rPr>
        <w:t>1</w:t>
      </w:r>
      <w:r>
        <w:rPr>
          <w:rFonts w:hint="eastAsia" w:ascii="楷体" w:hAnsi="楷体" w:eastAsia="楷体" w:cs="楷体"/>
          <w:sz w:val="28"/>
          <w:szCs w:val="28"/>
        </w:rPr>
        <w:t>月</w:t>
      </w:r>
      <w:r>
        <w:rPr>
          <w:rFonts w:hint="eastAsia" w:ascii="楷体" w:hAnsi="楷体" w:eastAsia="楷体" w:cs="楷体"/>
          <w:sz w:val="28"/>
          <w:szCs w:val="28"/>
          <w:lang w:val="en-US" w:eastAsia="zh-CN"/>
        </w:rPr>
        <w:t>10</w:t>
      </w:r>
      <w:r>
        <w:rPr>
          <w:rFonts w:hint="eastAsia" w:ascii="楷体" w:hAnsi="楷体" w:eastAsia="楷体" w:cs="楷体"/>
          <w:sz w:val="28"/>
          <w:szCs w:val="28"/>
        </w:rPr>
        <w:t xml:space="preserve">日 </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A956B2D"/>
    <w:multiLevelType w:val="singleLevel"/>
    <w:tmpl w:val="FA956B2D"/>
    <w:lvl w:ilvl="0" w:tentative="0">
      <w:start w:val="4"/>
      <w:numFmt w:val="chineseCounting"/>
      <w:suff w:val="nothing"/>
      <w:lvlText w:val="（%1）"/>
      <w:lvlJc w:val="left"/>
      <w:rPr>
        <w:rFonts w:hint="eastAsia"/>
      </w:rPr>
    </w:lvl>
  </w:abstractNum>
  <w:abstractNum w:abstractNumId="1">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2">
    <w:nsid w:val="7AF3A64B"/>
    <w:multiLevelType w:val="singleLevel"/>
    <w:tmpl w:val="7AF3A64B"/>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F3F"/>
    <w:rsid w:val="00057AE6"/>
    <w:rsid w:val="00062BC5"/>
    <w:rsid w:val="000C4E79"/>
    <w:rsid w:val="001777C5"/>
    <w:rsid w:val="0021059E"/>
    <w:rsid w:val="00216D12"/>
    <w:rsid w:val="0026170E"/>
    <w:rsid w:val="002C493C"/>
    <w:rsid w:val="0032095E"/>
    <w:rsid w:val="00340B0A"/>
    <w:rsid w:val="003E2C6B"/>
    <w:rsid w:val="0040329E"/>
    <w:rsid w:val="005A4A68"/>
    <w:rsid w:val="005E5F6F"/>
    <w:rsid w:val="00601A89"/>
    <w:rsid w:val="00617CA2"/>
    <w:rsid w:val="0063240F"/>
    <w:rsid w:val="006B4E83"/>
    <w:rsid w:val="00704C1C"/>
    <w:rsid w:val="00752F3F"/>
    <w:rsid w:val="007621BC"/>
    <w:rsid w:val="007B286E"/>
    <w:rsid w:val="007E23B4"/>
    <w:rsid w:val="007F2189"/>
    <w:rsid w:val="007F513F"/>
    <w:rsid w:val="008D13B7"/>
    <w:rsid w:val="008F366D"/>
    <w:rsid w:val="00965CD8"/>
    <w:rsid w:val="009A73D2"/>
    <w:rsid w:val="009E04DC"/>
    <w:rsid w:val="00A21740"/>
    <w:rsid w:val="00A24CA0"/>
    <w:rsid w:val="00A36E7B"/>
    <w:rsid w:val="00B0594C"/>
    <w:rsid w:val="00B456D0"/>
    <w:rsid w:val="00BB0540"/>
    <w:rsid w:val="00BC7155"/>
    <w:rsid w:val="00BD4188"/>
    <w:rsid w:val="00CC379B"/>
    <w:rsid w:val="00CF7AD8"/>
    <w:rsid w:val="00E3735B"/>
    <w:rsid w:val="00EF0FDC"/>
    <w:rsid w:val="00F056C7"/>
    <w:rsid w:val="00F45902"/>
    <w:rsid w:val="00FC25EE"/>
    <w:rsid w:val="00FE23E9"/>
    <w:rsid w:val="00FF647F"/>
    <w:rsid w:val="03CC19F4"/>
    <w:rsid w:val="056833EE"/>
    <w:rsid w:val="08516DB8"/>
    <w:rsid w:val="11C63CC0"/>
    <w:rsid w:val="16F71205"/>
    <w:rsid w:val="182D1AA3"/>
    <w:rsid w:val="1887595F"/>
    <w:rsid w:val="18C23BCD"/>
    <w:rsid w:val="22DA21E7"/>
    <w:rsid w:val="22FF1A1C"/>
    <w:rsid w:val="33ED5EE7"/>
    <w:rsid w:val="3EB137C6"/>
    <w:rsid w:val="40AA3D0D"/>
    <w:rsid w:val="444B649D"/>
    <w:rsid w:val="4665312E"/>
    <w:rsid w:val="5C687BD7"/>
    <w:rsid w:val="5DB6632B"/>
    <w:rsid w:val="60F52B39"/>
    <w:rsid w:val="682E1577"/>
    <w:rsid w:val="6C935275"/>
    <w:rsid w:val="747F66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3">
    <w:name w:val="footer"/>
    <w:basedOn w:val="1"/>
    <w:link w:val="10"/>
    <w:semiHidden/>
    <w:qFormat/>
    <w:uiPriority w:val="99"/>
    <w:pPr>
      <w:tabs>
        <w:tab w:val="center" w:pos="4153"/>
        <w:tab w:val="right" w:pos="8306"/>
      </w:tabs>
      <w:snapToGrid w:val="0"/>
      <w:jc w:val="left"/>
    </w:pPr>
    <w:rPr>
      <w:sz w:val="18"/>
      <w:szCs w:val="18"/>
    </w:rPr>
  </w:style>
  <w:style w:type="paragraph" w:styleId="4">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8">
    <w:name w:val="li_正文"/>
    <w:basedOn w:val="1"/>
    <w:qFormat/>
    <w:uiPriority w:val="0"/>
    <w:pPr>
      <w:ind w:firstLine="200" w:firstLineChars="200"/>
      <w:jc w:val="left"/>
    </w:pPr>
    <w:rPr>
      <w:rFonts w:ascii="Calibri" w:hAnsi="Calibri"/>
      <w:sz w:val="28"/>
      <w:szCs w:val="28"/>
    </w:rPr>
  </w:style>
  <w:style w:type="character" w:customStyle="1" w:styleId="9">
    <w:name w:val="页眉 Char"/>
    <w:basedOn w:val="5"/>
    <w:link w:val="4"/>
    <w:semiHidden/>
    <w:qFormat/>
    <w:locked/>
    <w:uiPriority w:val="99"/>
    <w:rPr>
      <w:rFonts w:cs="Times New Roman"/>
      <w:sz w:val="18"/>
      <w:szCs w:val="18"/>
    </w:rPr>
  </w:style>
  <w:style w:type="character" w:customStyle="1" w:styleId="10">
    <w:name w:val="页脚 Char"/>
    <w:basedOn w:val="5"/>
    <w:link w:val="3"/>
    <w:semiHidden/>
    <w:qFormat/>
    <w:locked/>
    <w:uiPriority w:val="99"/>
    <w:rPr>
      <w:rFonts w:cs="Times New Roman"/>
      <w:sz w:val="18"/>
      <w:szCs w:val="18"/>
    </w:rPr>
  </w:style>
  <w:style w:type="paragraph" w:styleId="11">
    <w:name w:val="List Paragraph"/>
    <w:basedOn w:val="1"/>
    <w:qFormat/>
    <w:uiPriority w:val="99"/>
    <w:pPr>
      <w:ind w:firstLine="420" w:firstLineChars="200"/>
    </w:pPr>
  </w:style>
  <w:style w:type="character" w:customStyle="1" w:styleId="12">
    <w:name w:val="正1 Char"/>
    <w:link w:val="13"/>
    <w:qFormat/>
    <w:locked/>
    <w:uiPriority w:val="99"/>
    <w:rPr>
      <w:rFonts w:eastAsia="楷体_GB2312"/>
      <w:sz w:val="24"/>
    </w:rPr>
  </w:style>
  <w:style w:type="paragraph" w:customStyle="1" w:styleId="13">
    <w:name w:val="正1"/>
    <w:basedOn w:val="1"/>
    <w:link w:val="12"/>
    <w:qFormat/>
    <w:uiPriority w:val="99"/>
    <w:pPr>
      <w:spacing w:line="360" w:lineRule="auto"/>
      <w:ind w:firstLine="200" w:firstLineChars="200"/>
      <w:jc w:val="left"/>
    </w:pPr>
    <w:rPr>
      <w:rFonts w:ascii="Calibri" w:hAnsi="Calibri" w:eastAsia="楷体_GB2312"/>
      <w:kern w:val="0"/>
      <w:sz w:val="24"/>
    </w:rPr>
  </w:style>
  <w:style w:type="paragraph" w:customStyle="1" w:styleId="14">
    <w:name w:val="Char Char Char Char Char Char Char"/>
    <w:basedOn w:val="1"/>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2385</Words>
  <Characters>391</Characters>
  <Lines>3</Lines>
  <Paragraphs>5</Paragraphs>
  <TotalTime>11</TotalTime>
  <ScaleCrop>false</ScaleCrop>
  <LinksUpToDate>false</LinksUpToDate>
  <CharactersWithSpaces>2771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且尽欢</cp:lastModifiedBy>
  <dcterms:modified xsi:type="dcterms:W3CDTF">2018-12-27T06:44:52Z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