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color w:val="auto"/>
          <w:sz w:val="28"/>
          <w:szCs w:val="28"/>
        </w:rPr>
      </w:pPr>
      <w:r>
        <w:rPr>
          <w:rFonts w:hint="eastAsia" w:eastAsia="楷体_GB2312" w:cs="Times New Roman"/>
          <w:b/>
          <w:color w:val="auto"/>
          <w:sz w:val="28"/>
          <w:szCs w:val="28"/>
          <w:lang w:val="en-US" w:eastAsia="zh-CN"/>
        </w:rPr>
        <w:t>山东聊城江明机械设备有限公司年产150吨顶头项目</w:t>
      </w:r>
      <w:r>
        <w:rPr>
          <w:rFonts w:hint="default" w:ascii="Times New Roman" w:hAnsi="Times New Roman" w:eastAsia="楷体_GB2312" w:cs="Times New Roman"/>
          <w:b/>
          <w:color w:val="auto"/>
          <w:sz w:val="28"/>
          <w:szCs w:val="28"/>
          <w:lang w:val="en-US" w:eastAsia="zh-CN"/>
        </w:rPr>
        <w:t>竣工</w:t>
      </w:r>
      <w:r>
        <w:rPr>
          <w:rFonts w:hint="default" w:ascii="Times New Roman" w:hAnsi="Times New Roman" w:eastAsia="楷体_GB2312" w:cs="Times New Roman"/>
          <w:b/>
          <w:color w:val="auto"/>
          <w:sz w:val="28"/>
          <w:szCs w:val="28"/>
        </w:rPr>
        <w:t>环境保护</w:t>
      </w:r>
    </w:p>
    <w:p>
      <w:pPr>
        <w:tabs>
          <w:tab w:val="left" w:pos="360"/>
        </w:tabs>
        <w:spacing w:line="360" w:lineRule="auto"/>
        <w:ind w:left="298" w:leftChars="142"/>
        <w:jc w:val="center"/>
        <w:rPr>
          <w:rFonts w:hint="default" w:ascii="Times New Roman" w:hAnsi="Times New Roman" w:eastAsia="楷体_GB2312" w:cs="Times New Roman"/>
          <w:b/>
          <w:color w:val="auto"/>
          <w:sz w:val="30"/>
          <w:szCs w:val="30"/>
        </w:rPr>
      </w:pPr>
      <w:r>
        <w:rPr>
          <w:rFonts w:hint="default" w:ascii="Times New Roman" w:hAnsi="Times New Roman" w:eastAsia="楷体_GB2312" w:cs="Times New Roman"/>
          <w:b/>
          <w:color w:val="auto"/>
          <w:sz w:val="28"/>
          <w:szCs w:val="28"/>
        </w:rPr>
        <w:t>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201</w:t>
      </w:r>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3</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13</w:t>
      </w:r>
      <w:r>
        <w:rPr>
          <w:rFonts w:hint="default" w:ascii="Times New Roman" w:hAnsi="Times New Roman" w:eastAsia="楷体_GB2312" w:cs="Times New Roman"/>
          <w:color w:val="auto"/>
          <w:sz w:val="28"/>
          <w:szCs w:val="28"/>
          <w:highlight w:val="none"/>
        </w:rPr>
        <w:t>日</w:t>
      </w:r>
      <w:r>
        <w:rPr>
          <w:rFonts w:hint="default" w:ascii="Times New Roman" w:hAnsi="Times New Roman" w:eastAsia="楷体_GB2312" w:cs="Times New Roman"/>
          <w:color w:val="auto"/>
          <w:sz w:val="28"/>
          <w:szCs w:val="28"/>
        </w:rPr>
        <w:t>，</w:t>
      </w:r>
      <w:r>
        <w:rPr>
          <w:rFonts w:hint="eastAsia" w:eastAsia="楷体_GB2312" w:cs="Times New Roman"/>
          <w:color w:val="auto"/>
          <w:sz w:val="28"/>
          <w:szCs w:val="28"/>
          <w:lang w:val="en-US" w:eastAsia="zh-CN"/>
        </w:rPr>
        <w:t>山东聊城江明机械设备有限公司</w:t>
      </w:r>
      <w:r>
        <w:rPr>
          <w:rFonts w:hint="default" w:ascii="Times New Roman" w:hAnsi="Times New Roman" w:eastAsia="楷体_GB2312" w:cs="Times New Roman"/>
          <w:color w:val="auto"/>
          <w:sz w:val="28"/>
          <w:szCs w:val="28"/>
          <w:highlight w:val="none"/>
        </w:rPr>
        <w:t>组织召开</w:t>
      </w:r>
      <w:r>
        <w:rPr>
          <w:rFonts w:hint="eastAsia" w:eastAsia="楷体_GB2312" w:cs="Times New Roman"/>
          <w:color w:val="auto"/>
          <w:sz w:val="28"/>
          <w:szCs w:val="28"/>
          <w:highlight w:val="none"/>
          <w:lang w:val="en-US" w:eastAsia="zh-CN"/>
        </w:rPr>
        <w:t>年产150吨顶头项目</w:t>
      </w:r>
      <w:r>
        <w:rPr>
          <w:rFonts w:hint="default" w:ascii="Times New Roman" w:hAnsi="Times New Roman" w:eastAsia="楷体_GB2312" w:cs="Times New Roman"/>
          <w:color w:val="auto"/>
          <w:sz w:val="28"/>
          <w:szCs w:val="28"/>
          <w:highlight w:val="none"/>
        </w:rPr>
        <w:t>竣</w:t>
      </w:r>
      <w:r>
        <w:rPr>
          <w:rFonts w:hint="default" w:ascii="Times New Roman" w:hAnsi="Times New Roman" w:eastAsia="楷体_GB2312" w:cs="Times New Roman"/>
          <w:color w:val="auto"/>
          <w:sz w:val="28"/>
          <w:szCs w:val="28"/>
        </w:rPr>
        <w:t>工环境保护验收现场检查及验收及验收会。验收工作组由工程建设单位（</w:t>
      </w:r>
      <w:r>
        <w:rPr>
          <w:rFonts w:hint="eastAsia" w:eastAsia="楷体_GB2312" w:cs="Times New Roman"/>
          <w:color w:val="auto"/>
          <w:sz w:val="28"/>
          <w:szCs w:val="28"/>
          <w:lang w:val="en-US" w:eastAsia="zh-CN"/>
        </w:rPr>
        <w:t>山东聊城江明机械设备有限公司</w:t>
      </w:r>
      <w:r>
        <w:rPr>
          <w:rFonts w:hint="default" w:ascii="Times New Roman" w:hAnsi="Times New Roman" w:eastAsia="楷体_GB2312" w:cs="Times New Roman"/>
          <w:color w:val="auto"/>
          <w:sz w:val="28"/>
          <w:szCs w:val="28"/>
        </w:rPr>
        <w:t>）、环评单位（</w:t>
      </w:r>
      <w:r>
        <w:rPr>
          <w:rFonts w:hint="eastAsia" w:eastAsia="楷体" w:cs="Times New Roman"/>
          <w:color w:val="auto"/>
          <w:sz w:val="28"/>
          <w:szCs w:val="28"/>
          <w:lang w:val="en-US" w:eastAsia="zh-CN"/>
        </w:rPr>
        <w:t>苏州合巨环保技术有限公司</w:t>
      </w:r>
      <w:r>
        <w:rPr>
          <w:rFonts w:hint="default" w:ascii="Times New Roman" w:hAnsi="Times New Roman" w:eastAsia="楷体_GB2312" w:cs="Times New Roman"/>
          <w:color w:val="auto"/>
          <w:sz w:val="28"/>
          <w:szCs w:val="28"/>
        </w:rPr>
        <w:t>）、监测单位（</w:t>
      </w: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）并特邀</w:t>
      </w:r>
      <w:r>
        <w:rPr>
          <w:rFonts w:hint="eastAsia" w:eastAsia="楷体_GB2312" w:cs="Times New Roman"/>
          <w:color w:val="auto"/>
          <w:sz w:val="28"/>
          <w:szCs w:val="28"/>
          <w:lang w:val="en-US" w:eastAsia="zh-CN"/>
        </w:rPr>
        <w:t>2</w:t>
      </w:r>
      <w:r>
        <w:rPr>
          <w:rFonts w:hint="default" w:ascii="Times New Roman" w:hAnsi="Times New Roman" w:eastAsia="楷体_GB2312"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项目建设地点</w:t>
      </w:r>
      <w:r>
        <w:rPr>
          <w:rFonts w:hint="default" w:ascii="Times New Roman" w:hAnsi="Times New Roman" w:eastAsia="楷体_GB2312" w:cs="Times New Roman"/>
          <w:color w:val="auto"/>
          <w:sz w:val="28"/>
          <w:szCs w:val="28"/>
          <w:lang w:eastAsia="zh-CN"/>
        </w:rPr>
        <w:t>位于</w:t>
      </w:r>
      <w:r>
        <w:rPr>
          <w:rFonts w:hint="eastAsia" w:eastAsia="楷体_GB2312" w:cs="Times New Roman"/>
          <w:color w:val="auto"/>
          <w:sz w:val="28"/>
          <w:szCs w:val="28"/>
          <w:lang w:eastAsia="zh-CN"/>
        </w:rPr>
        <w:t>聊城市冠县桑阿镇潘庄村西首</w:t>
      </w:r>
      <w:r>
        <w:rPr>
          <w:rFonts w:hint="default" w:ascii="Times New Roman" w:hAnsi="Times New Roman" w:eastAsia="楷体_GB2312" w:cs="Times New Roman"/>
          <w:color w:val="auto"/>
          <w:sz w:val="28"/>
          <w:szCs w:val="28"/>
          <w:lang w:val="en-US" w:eastAsia="zh-CN"/>
        </w:rPr>
        <w:t>。项目</w:t>
      </w:r>
      <w:r>
        <w:rPr>
          <w:rFonts w:hint="default" w:ascii="Times New Roman" w:hAnsi="Times New Roman" w:eastAsia="楷体_GB2312" w:cs="Times New Roman"/>
          <w:color w:val="auto"/>
          <w:sz w:val="28"/>
          <w:szCs w:val="28"/>
          <w:lang w:eastAsia="zh-CN"/>
        </w:rPr>
        <w:t>总投资</w:t>
      </w:r>
      <w:r>
        <w:rPr>
          <w:rFonts w:hint="eastAsia" w:eastAsia="楷体_GB2312" w:cs="Times New Roman"/>
          <w:color w:val="auto"/>
          <w:sz w:val="28"/>
          <w:szCs w:val="28"/>
          <w:lang w:val="en-US" w:eastAsia="zh-CN"/>
        </w:rPr>
        <w:t>101万</w:t>
      </w:r>
      <w:r>
        <w:rPr>
          <w:rFonts w:hint="default" w:ascii="Times New Roman" w:hAnsi="Times New Roman" w:eastAsia="楷体_GB2312" w:cs="Times New Roman"/>
          <w:color w:val="auto"/>
          <w:sz w:val="28"/>
          <w:szCs w:val="28"/>
          <w:lang w:val="en-US" w:eastAsia="zh-CN"/>
        </w:rPr>
        <w:t>元，</w:t>
      </w:r>
      <w:r>
        <w:rPr>
          <w:rFonts w:hint="default" w:ascii="Times New Roman" w:hAnsi="Times New Roman" w:eastAsia="楷体_GB2312" w:cs="Times New Roman"/>
          <w:color w:val="auto"/>
          <w:sz w:val="28"/>
          <w:szCs w:val="28"/>
        </w:rPr>
        <w:t>占地</w:t>
      </w:r>
      <w:r>
        <w:rPr>
          <w:rFonts w:hint="default" w:ascii="Times New Roman" w:hAnsi="Times New Roman" w:eastAsia="楷体_GB2312" w:cs="Times New Roman"/>
          <w:color w:val="auto"/>
          <w:sz w:val="28"/>
          <w:szCs w:val="28"/>
          <w:lang w:eastAsia="zh-CN"/>
        </w:rPr>
        <w:t>面积</w:t>
      </w:r>
      <w:r>
        <w:rPr>
          <w:rFonts w:hint="eastAsia" w:eastAsia="楷体_GB2312" w:cs="Times New Roman"/>
          <w:color w:val="auto"/>
          <w:sz w:val="28"/>
          <w:szCs w:val="28"/>
          <w:lang w:val="en-US" w:eastAsia="zh-CN"/>
        </w:rPr>
        <w:t>9900</w:t>
      </w:r>
      <w:r>
        <w:rPr>
          <w:rFonts w:hint="default" w:ascii="Times New Roman" w:hAnsi="Times New Roman" w:eastAsia="楷体_GB2312" w:cs="Times New Roman"/>
          <w:color w:val="auto"/>
          <w:sz w:val="28"/>
          <w:szCs w:val="28"/>
        </w:rPr>
        <w:t>m</w:t>
      </w:r>
      <w:r>
        <w:rPr>
          <w:rFonts w:hint="default" w:ascii="Times New Roman" w:hAnsi="Times New Roman" w:eastAsia="楷体_GB2312" w:cs="Times New Roman"/>
          <w:color w:val="auto"/>
          <w:sz w:val="28"/>
          <w:szCs w:val="28"/>
          <w:vertAlign w:val="superscript"/>
        </w:rPr>
        <w:t>2</w:t>
      </w:r>
      <w:r>
        <w:rPr>
          <w:rFonts w:hint="default" w:ascii="Times New Roman" w:hAnsi="Times New Roman" w:eastAsia="楷体_GB2312" w:cs="Times New Roman"/>
          <w:color w:val="auto"/>
          <w:sz w:val="28"/>
          <w:szCs w:val="28"/>
        </w:rPr>
        <w:t>，</w:t>
      </w:r>
      <w:r>
        <w:rPr>
          <w:rFonts w:hint="default" w:ascii="Times New Roman" w:hAnsi="Times New Roman" w:eastAsia="楷体_GB2312" w:cs="Times New Roman"/>
          <w:color w:val="auto"/>
          <w:sz w:val="28"/>
          <w:szCs w:val="28"/>
          <w:lang w:eastAsia="zh-CN"/>
        </w:rPr>
        <w:t>建设</w:t>
      </w:r>
      <w:r>
        <w:rPr>
          <w:rFonts w:hint="eastAsia" w:eastAsia="楷体_GB2312" w:cs="Times New Roman"/>
          <w:color w:val="auto"/>
          <w:sz w:val="28"/>
          <w:szCs w:val="28"/>
          <w:lang w:val="en-US" w:eastAsia="zh-CN"/>
        </w:rPr>
        <w:t>年产150吨顶头项目</w:t>
      </w:r>
      <w:r>
        <w:rPr>
          <w:rFonts w:hint="default" w:ascii="Times New Roman" w:hAnsi="Times New Roman" w:eastAsia="楷体_GB2312" w:cs="Times New Roman"/>
          <w:color w:val="auto"/>
          <w:sz w:val="28"/>
          <w:szCs w:val="28"/>
          <w:lang w:val="en-US" w:eastAsia="zh-CN"/>
        </w:rPr>
        <w:t>，购置空气锤、夹板锤、车床、铣床及砂轮机等设备</w:t>
      </w:r>
      <w:r>
        <w:rPr>
          <w:rFonts w:hint="default" w:ascii="Times New Roman" w:hAnsi="Times New Roman" w:eastAsia="楷体_GB2312" w:cs="Times New Roman"/>
          <w:color w:val="auto"/>
          <w:sz w:val="28"/>
          <w:szCs w:val="28"/>
          <w:lang w:eastAsia="zh-CN"/>
        </w:rPr>
        <w:t>及</w:t>
      </w:r>
      <w:r>
        <w:rPr>
          <w:rFonts w:hint="default" w:ascii="Times New Roman" w:hAnsi="Times New Roman" w:eastAsia="楷体" w:cs="Times New Roman"/>
          <w:color w:val="auto"/>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_GB2312" w:cs="Times New Roman"/>
          <w:color w:val="auto"/>
          <w:sz w:val="28"/>
          <w:szCs w:val="28"/>
        </w:rPr>
        <w:t>建设性质为</w:t>
      </w:r>
      <w:r>
        <w:rPr>
          <w:rFonts w:hint="default" w:ascii="Times New Roman" w:hAnsi="Times New Roman" w:eastAsia="楷体_GB2312" w:cs="Times New Roman"/>
          <w:color w:val="auto"/>
          <w:sz w:val="28"/>
          <w:szCs w:val="28"/>
          <w:lang w:val="en-US" w:eastAsia="zh-CN"/>
        </w:rPr>
        <w:t>新建</w:t>
      </w:r>
      <w:r>
        <w:rPr>
          <w:rFonts w:hint="default" w:ascii="Times New Roman" w:hAnsi="Times New Roman" w:eastAsia="楷体_GB2312" w:cs="Times New Roman"/>
          <w:color w:val="auto"/>
          <w:sz w:val="28"/>
          <w:szCs w:val="28"/>
        </w:rPr>
        <w:t>，项目生产规模为：</w:t>
      </w:r>
      <w:r>
        <w:rPr>
          <w:rFonts w:hint="eastAsia" w:eastAsia="楷体_GB2312" w:cs="Times New Roman"/>
          <w:color w:val="auto"/>
          <w:sz w:val="28"/>
          <w:szCs w:val="28"/>
          <w:lang w:val="en-US" w:eastAsia="zh-CN"/>
        </w:rPr>
        <w:t>年产150吨顶头</w:t>
      </w:r>
      <w:r>
        <w:rPr>
          <w:rFonts w:hint="default" w:ascii="Times New Roman" w:hAnsi="Times New Roman" w:eastAsia="楷体_GB2312" w:cs="Times New Roman"/>
          <w:color w:val="auto"/>
          <w:sz w:val="28"/>
          <w:szCs w:val="28"/>
          <w:lang w:val="en-US" w:eastAsia="zh-CN"/>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（二）环保审批情况</w:t>
      </w:r>
    </w:p>
    <w:p>
      <w:pPr>
        <w:spacing w:line="360" w:lineRule="auto"/>
        <w:ind w:firstLine="560" w:firstLineChars="200"/>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本项目未批先建，冠县环境保护局对其进行了行政处罚。2018年9月山东聊城江明机械设备有限公司委托苏州合巨环保技术有限公司编制了《山东聊城江明机械设备有限公司年产150吨顶头项目环境影响报告表》，2019年1月25日冠县环境保护局以冠环报告表[2019]25号对其进行了审批。2019年2月公司委托山东聊和环保科技有限公司进行该项目的环保验收监测工作，接受委托后山东聊和环保科技有限公司组织有关技术人员进行现场踏勘，依据监测技术规范制定了环保验收监测方案，并于2019年02月25日-26日对该企业进行了验收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项目实际总投资</w:t>
      </w:r>
      <w:r>
        <w:rPr>
          <w:rFonts w:hint="eastAsia" w:eastAsia="楷体_GB2312" w:cs="Times New Roman"/>
          <w:color w:val="auto"/>
          <w:sz w:val="28"/>
          <w:szCs w:val="28"/>
          <w:lang w:val="en-US" w:eastAsia="zh-CN"/>
        </w:rPr>
        <w:t>101万</w:t>
      </w:r>
      <w:r>
        <w:rPr>
          <w:rFonts w:hint="default" w:ascii="Times New Roman" w:hAnsi="Times New Roman" w:eastAsia="楷体_GB2312" w:cs="Times New Roman"/>
          <w:color w:val="auto"/>
          <w:sz w:val="28"/>
          <w:szCs w:val="28"/>
        </w:rPr>
        <w:t>元，其中环保投资</w:t>
      </w:r>
      <w:r>
        <w:rPr>
          <w:rFonts w:hint="eastAsia" w:eastAsia="楷体_GB2312" w:cs="Times New Roman"/>
          <w:color w:val="auto"/>
          <w:sz w:val="28"/>
          <w:szCs w:val="28"/>
          <w:lang w:val="en-US" w:eastAsia="zh-CN"/>
        </w:rPr>
        <w:t>2</w:t>
      </w:r>
      <w:r>
        <w:rPr>
          <w:rFonts w:hint="default" w:ascii="Times New Roman" w:hAnsi="Times New Roman" w:eastAsia="楷体_GB2312" w:cs="Times New Roman"/>
          <w:color w:val="auto"/>
          <w:sz w:val="28"/>
          <w:szCs w:val="28"/>
        </w:rPr>
        <w:t>万元。占总投资</w:t>
      </w:r>
      <w:r>
        <w:rPr>
          <w:rFonts w:hint="eastAsia" w:eastAsia="楷体_GB2312" w:cs="Times New Roman"/>
          <w:color w:val="auto"/>
          <w:sz w:val="28"/>
          <w:szCs w:val="28"/>
          <w:lang w:val="en-US" w:eastAsia="zh-CN"/>
        </w:rPr>
        <w:t>2</w:t>
      </w:r>
      <w:r>
        <w:rPr>
          <w:rFonts w:hint="default" w:ascii="Times New Roman" w:hAnsi="Times New Roman" w:eastAsia="楷体_GB2312"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本次验收的范围为</w:t>
      </w:r>
      <w:r>
        <w:rPr>
          <w:rFonts w:hint="eastAsia" w:eastAsia="楷体_GB2312" w:cs="Times New Roman"/>
          <w:color w:val="auto"/>
          <w:sz w:val="28"/>
          <w:szCs w:val="28"/>
          <w:lang w:val="en-US" w:eastAsia="zh-CN"/>
        </w:rPr>
        <w:t>150吨顶头</w:t>
      </w:r>
      <w:r>
        <w:rPr>
          <w:rFonts w:hint="default" w:ascii="Times New Roman" w:hAnsi="Times New Roman" w:eastAsia="楷体_GB2312" w:cs="Times New Roman"/>
          <w:color w:val="auto"/>
          <w:sz w:val="28"/>
          <w:szCs w:val="28"/>
          <w:lang w:val="en-US" w:eastAsia="zh-CN"/>
        </w:rPr>
        <w:t>生产设备</w:t>
      </w:r>
      <w:r>
        <w:rPr>
          <w:rFonts w:hint="default" w:ascii="Times New Roman" w:hAnsi="Times New Roman" w:eastAsia="楷体_GB2312"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二、工程变更情况</w:t>
      </w:r>
    </w:p>
    <w:p>
      <w:pPr>
        <w:spacing w:line="360" w:lineRule="auto"/>
        <w:ind w:firstLine="840" w:firstLineChars="3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通过现场调查，</w:t>
      </w:r>
      <w:r>
        <w:rPr>
          <w:rFonts w:hint="default" w:ascii="Times New Roman" w:hAnsi="Times New Roman" w:eastAsia="楷体_GB2312" w:cs="Times New Roman"/>
          <w:color w:val="auto"/>
          <w:sz w:val="28"/>
          <w:szCs w:val="28"/>
          <w:lang w:eastAsia="zh-CN"/>
        </w:rPr>
        <w:t>数控车床及立式台钻均比环评设计数量少一台，</w:t>
      </w:r>
      <w:r>
        <w:rPr>
          <w:rFonts w:hint="default" w:ascii="Times New Roman" w:hAnsi="Times New Roman" w:eastAsia="楷体_GB2312" w:cs="Times New Roman"/>
          <w:color w:val="auto"/>
          <w:sz w:val="28"/>
          <w:szCs w:val="28"/>
          <w:lang w:val="en-US" w:eastAsia="zh-CN"/>
        </w:rPr>
        <w:t>未影响综合产能。</w:t>
      </w:r>
      <w:r>
        <w:rPr>
          <w:rFonts w:hint="default" w:ascii="Times New Roman" w:hAnsi="Times New Roman" w:eastAsia="楷体_GB2312" w:cs="Times New Roman"/>
          <w:color w:val="auto"/>
          <w:sz w:val="28"/>
          <w:szCs w:val="28"/>
        </w:rPr>
        <w:t>对照环评报告及审批意见，生产性质、生产规模、生产地点、生产工艺及环保设施均无明显变动，故本项目工程无重大变动。</w:t>
      </w:r>
    </w:p>
    <w:p>
      <w:pPr>
        <w:pStyle w:val="9"/>
        <w:numPr>
          <w:ilvl w:val="0"/>
          <w:numId w:val="1"/>
        </w:numPr>
        <w:spacing w:line="360" w:lineRule="auto"/>
        <w:ind w:firstLineChars="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项目产品加热后冷却水循环利用，定期补充，不外排。生活废水进入厂区化粪池，定期清运用于农田施肥。</w:t>
      </w:r>
    </w:p>
    <w:p>
      <w:pPr>
        <w:widowControl/>
        <w:spacing w:line="360" w:lineRule="auto"/>
        <w:ind w:firstLine="420" w:firstLineChars="150"/>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（二）废气污染源及其治理措施</w:t>
      </w:r>
    </w:p>
    <w:p>
      <w:pPr>
        <w:widowControl/>
        <w:spacing w:line="360" w:lineRule="auto"/>
        <w:ind w:left="0" w:leftChars="0" w:firstLine="638" w:firstLineChars="228"/>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本项目废气主要为天然气加热炉燃烧废气（SO</w:t>
      </w:r>
      <w:r>
        <w:rPr>
          <w:rFonts w:hint="default" w:ascii="Times New Roman" w:hAnsi="Times New Roman" w:eastAsia="楷体_GB2312" w:cs="Times New Roman"/>
          <w:color w:val="auto"/>
          <w:kern w:val="2"/>
          <w:sz w:val="28"/>
          <w:szCs w:val="28"/>
          <w:vertAlign w:val="subscript"/>
          <w:lang w:val="en-US" w:eastAsia="zh-CN" w:bidi="ar-SA"/>
        </w:rPr>
        <w:t>2</w:t>
      </w:r>
      <w:r>
        <w:rPr>
          <w:rFonts w:hint="default" w:ascii="Times New Roman" w:hAnsi="Times New Roman" w:eastAsia="楷体_GB2312" w:cs="Times New Roman"/>
          <w:color w:val="auto"/>
          <w:kern w:val="2"/>
          <w:sz w:val="28"/>
          <w:szCs w:val="28"/>
          <w:lang w:val="en-US" w:eastAsia="zh-CN" w:bidi="ar-SA"/>
        </w:rPr>
        <w:t>、NO</w:t>
      </w:r>
      <w:r>
        <w:rPr>
          <w:rFonts w:hint="default" w:ascii="Times New Roman" w:hAnsi="Times New Roman" w:eastAsia="楷体_GB2312" w:cs="Times New Roman"/>
          <w:color w:val="auto"/>
          <w:kern w:val="2"/>
          <w:sz w:val="28"/>
          <w:szCs w:val="28"/>
          <w:vertAlign w:val="subscript"/>
          <w:lang w:val="en-US" w:eastAsia="zh-CN" w:bidi="ar-SA"/>
        </w:rPr>
        <w:t>x</w:t>
      </w:r>
      <w:r>
        <w:rPr>
          <w:rFonts w:hint="default" w:ascii="Times New Roman" w:hAnsi="Times New Roman" w:eastAsia="楷体_GB2312" w:cs="Times New Roman"/>
          <w:color w:val="auto"/>
          <w:kern w:val="2"/>
          <w:sz w:val="28"/>
          <w:szCs w:val="28"/>
          <w:lang w:val="en-US" w:eastAsia="zh-CN" w:bidi="ar-SA"/>
        </w:rPr>
        <w:t>、颗粒物），切割工艺过程中产生少量粉尘。</w:t>
      </w:r>
    </w:p>
    <w:p>
      <w:pPr>
        <w:widowControl/>
        <w:spacing w:line="360" w:lineRule="auto"/>
        <w:ind w:left="0" w:leftChars="0" w:firstLine="638" w:firstLineChars="228"/>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天然气加热炉燃烧废气经15米高排气筒排放。</w:t>
      </w:r>
    </w:p>
    <w:p>
      <w:pPr>
        <w:widowControl/>
        <w:spacing w:line="360" w:lineRule="auto"/>
        <w:ind w:left="0" w:leftChars="0" w:firstLine="638" w:firstLineChars="228"/>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生产车间在切割过程会有粉尘产生，粉尘主要成分为铁粉，重力较大不易飘逸，且粉尘产生量较少，车间内无组织排放。</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 xml:space="preserve">项目的主要噪声源为车床、锯床、铣床、砂轮机等机械加工设备。通过设备放置在车间内，设备安装基础减震等措施，降低对外环境的影响。 </w:t>
      </w:r>
    </w:p>
    <w:p>
      <w:pPr>
        <w:spacing w:line="360" w:lineRule="auto"/>
        <w:ind w:firstLine="420" w:firstLineChars="150"/>
        <w:jc w:val="left"/>
        <w:rPr>
          <w:rFonts w:hint="default" w:ascii="Times New Roman" w:hAnsi="Times New Roman" w:eastAsia="楷体" w:cs="Times New Roman"/>
          <w:color w:val="auto"/>
          <w:sz w:val="28"/>
          <w:szCs w:val="28"/>
          <w:lang w:eastAsia="zh-CN"/>
        </w:rPr>
      </w:pPr>
      <w:r>
        <w:rPr>
          <w:rFonts w:hint="default" w:ascii="Times New Roman" w:hAnsi="Times New Roman" w:eastAsia="楷体_GB2312" w:cs="Times New Roman"/>
          <w:color w:val="auto"/>
          <w:sz w:val="28"/>
          <w:szCs w:val="28"/>
        </w:rPr>
        <w:t>（</w:t>
      </w:r>
      <w:r>
        <w:rPr>
          <w:rFonts w:hint="default" w:ascii="Times New Roman" w:hAnsi="Times New Roman" w:eastAsia="楷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本项目主要固体废物是下脚料、铁屑、废机油、废切削液和员工生活垃圾等。</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生产过程中产生的下脚料、铁屑经收集后出售给钢材生产企业作为原料，实现综合利用，提高产品收率，减少物料浪费；生活垃圾经收集后委托环卫部门定期清运；废机油、废切削液属于危险废物，目前尚未产生。一旦产生，须规范放置于危废暂存间，并与有资质单位签订有效的危废处理协议，保证得到妥善处置。</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出具的</w:t>
      </w:r>
      <w:r>
        <w:rPr>
          <w:rFonts w:hint="default" w:ascii="Times New Roman" w:hAnsi="Times New Roman" w:eastAsia="楷体_GB2312" w:cs="Times New Roman"/>
          <w:b w:val="0"/>
          <w:bCs w:val="0"/>
          <w:color w:val="auto"/>
          <w:sz w:val="28"/>
          <w:szCs w:val="28"/>
        </w:rPr>
        <w:t>《</w:t>
      </w:r>
      <w:r>
        <w:rPr>
          <w:rFonts w:hint="eastAsia" w:eastAsia="楷体_GB2312" w:cs="Times New Roman"/>
          <w:b w:val="0"/>
          <w:bCs w:val="0"/>
          <w:color w:val="auto"/>
          <w:sz w:val="28"/>
          <w:szCs w:val="28"/>
          <w:lang w:val="en-US" w:eastAsia="zh-CN"/>
        </w:rPr>
        <w:t>山东聊城江明机械设备有限公司年产150吨顶头项目</w:t>
      </w:r>
      <w:r>
        <w:rPr>
          <w:rFonts w:hint="default" w:ascii="Times New Roman" w:hAnsi="Times New Roman" w:eastAsia="楷体_GB2312"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废水</w:t>
      </w:r>
    </w:p>
    <w:p>
      <w:pPr>
        <w:spacing w:line="360" w:lineRule="auto"/>
        <w:ind w:firstLine="560" w:firstLineChars="200"/>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_GB2312" w:cs="Times New Roman"/>
          <w:color w:val="auto"/>
          <w:sz w:val="28"/>
          <w:szCs w:val="28"/>
          <w:lang w:val="en-US" w:eastAsia="zh-CN"/>
        </w:rPr>
        <w:t>项目废水主要为生活废水，排入厂区化粪池，定期清运用于农田施肥。</w:t>
      </w:r>
    </w:p>
    <w:p>
      <w:pPr>
        <w:numPr>
          <w:ilvl w:val="0"/>
          <w:numId w:val="3"/>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废气</w:t>
      </w:r>
    </w:p>
    <w:p>
      <w:pPr>
        <w:spacing w:line="360" w:lineRule="auto"/>
        <w:ind w:firstLine="560" w:firstLineChars="200"/>
        <w:rPr>
          <w:rFonts w:hint="default" w:ascii="Times New Roman" w:hAnsi="Times New Roman" w:eastAsia="楷体" w:cs="Times New Roman"/>
          <w:color w:val="000000"/>
          <w:sz w:val="28"/>
          <w:szCs w:val="28"/>
        </w:rPr>
      </w:pPr>
      <w:r>
        <w:rPr>
          <w:rFonts w:hint="default" w:ascii="Times New Roman" w:hAnsi="Times New Roman" w:eastAsia="楷体" w:cs="Times New Roman"/>
          <w:color w:val="000000"/>
          <w:sz w:val="28"/>
          <w:szCs w:val="28"/>
        </w:rPr>
        <w:t>验</w:t>
      </w:r>
      <w:r>
        <w:rPr>
          <w:rFonts w:hint="default" w:ascii="Times New Roman" w:hAnsi="Times New Roman" w:eastAsia="楷体" w:cs="Times New Roman"/>
          <w:bCs/>
          <w:color w:val="000000"/>
          <w:sz w:val="28"/>
          <w:szCs w:val="28"/>
        </w:rPr>
        <w:t>收监测期间，有组织颗粒物最高排放浓度</w:t>
      </w:r>
      <w:r>
        <w:rPr>
          <w:rFonts w:hint="eastAsia" w:ascii="Times New Roman" w:hAnsi="Times New Roman" w:eastAsia="楷体" w:cs="Times New Roman"/>
          <w:bCs/>
          <w:color w:val="auto"/>
          <w:sz w:val="28"/>
          <w:szCs w:val="28"/>
          <w:lang w:eastAsia="zh-CN"/>
        </w:rPr>
        <w:t>为18.2</w:t>
      </w:r>
      <w:r>
        <w:rPr>
          <w:rFonts w:hint="default" w:ascii="Times New Roman" w:hAnsi="Times New Roman" w:eastAsia="楷体" w:cs="Times New Roman"/>
          <w:bCs/>
          <w:color w:val="auto"/>
          <w:sz w:val="28"/>
          <w:szCs w:val="28"/>
        </w:rPr>
        <w:t>mg/m</w:t>
      </w:r>
      <w:r>
        <w:rPr>
          <w:rFonts w:hint="default" w:ascii="Times New Roman" w:hAnsi="Times New Roman" w:eastAsia="楷体" w:cs="Times New Roman"/>
          <w:bCs/>
          <w:color w:val="auto"/>
          <w:sz w:val="28"/>
          <w:szCs w:val="28"/>
          <w:vertAlign w:val="superscript"/>
        </w:rPr>
        <w:t>3</w:t>
      </w:r>
      <w:r>
        <w:rPr>
          <w:rFonts w:hint="default" w:ascii="Times New Roman" w:hAnsi="Times New Roman" w:eastAsia="楷体" w:cs="Times New Roman"/>
          <w:bCs/>
          <w:color w:val="auto"/>
          <w:sz w:val="28"/>
          <w:szCs w:val="28"/>
        </w:rPr>
        <w:t>，排放速率最高为0.0112kg/h；</w:t>
      </w:r>
      <w:r>
        <w:rPr>
          <w:rFonts w:hint="eastAsia" w:ascii="Times New Roman" w:hAnsi="Times New Roman" w:eastAsia="楷体" w:cs="Times New Roman"/>
          <w:bCs/>
          <w:color w:val="auto"/>
          <w:sz w:val="28"/>
          <w:szCs w:val="28"/>
          <w:lang w:eastAsia="zh-CN"/>
        </w:rPr>
        <w:t>二氧化硫最高排放浓度为6</w:t>
      </w:r>
      <w:r>
        <w:rPr>
          <w:rFonts w:hint="default" w:ascii="Times New Roman" w:hAnsi="Times New Roman" w:eastAsia="楷体" w:cs="Times New Roman"/>
          <w:bCs/>
          <w:color w:val="auto"/>
          <w:sz w:val="28"/>
          <w:szCs w:val="28"/>
        </w:rPr>
        <w:t>mg/m</w:t>
      </w:r>
      <w:r>
        <w:rPr>
          <w:rFonts w:hint="default" w:ascii="Times New Roman" w:hAnsi="Times New Roman" w:eastAsia="楷体" w:cs="Times New Roman"/>
          <w:bCs/>
          <w:color w:val="auto"/>
          <w:sz w:val="28"/>
          <w:szCs w:val="28"/>
          <w:vertAlign w:val="superscript"/>
        </w:rPr>
        <w:t>3</w:t>
      </w:r>
      <w:r>
        <w:rPr>
          <w:rFonts w:hint="default" w:ascii="Times New Roman" w:hAnsi="Times New Roman" w:eastAsia="楷体" w:cs="Times New Roman"/>
          <w:bCs/>
          <w:color w:val="auto"/>
          <w:sz w:val="28"/>
          <w:szCs w:val="28"/>
        </w:rPr>
        <w:t>，</w:t>
      </w:r>
      <w:r>
        <w:rPr>
          <w:rFonts w:hint="eastAsia" w:ascii="Times New Roman" w:hAnsi="Times New Roman" w:eastAsia="楷体" w:cs="Times New Roman"/>
          <w:bCs/>
          <w:color w:val="auto"/>
          <w:sz w:val="28"/>
          <w:szCs w:val="28"/>
          <w:lang w:eastAsia="zh-CN"/>
        </w:rPr>
        <w:t>排放速率最高为4</w:t>
      </w:r>
      <w:r>
        <w:rPr>
          <w:rFonts w:hint="default" w:ascii="Times New Roman" w:hAnsi="Times New Roman" w:eastAsia="楷体" w:cs="Times New Roman"/>
          <w:color w:val="auto"/>
          <w:sz w:val="28"/>
          <w:szCs w:val="28"/>
        </w:rPr>
        <w:t>×10</w:t>
      </w:r>
      <w:r>
        <w:rPr>
          <w:rFonts w:hint="default" w:ascii="Times New Roman" w:hAnsi="Times New Roman" w:eastAsia="楷体" w:cs="Times New Roman"/>
          <w:color w:val="auto"/>
          <w:sz w:val="28"/>
          <w:szCs w:val="28"/>
          <w:vertAlign w:val="superscript"/>
        </w:rPr>
        <w:t>-3</w:t>
      </w:r>
      <w:r>
        <w:rPr>
          <w:rFonts w:hint="default" w:ascii="Times New Roman" w:hAnsi="Times New Roman" w:eastAsia="楷体" w:cs="Times New Roman"/>
          <w:bCs/>
          <w:color w:val="auto"/>
          <w:sz w:val="28"/>
          <w:szCs w:val="28"/>
        </w:rPr>
        <w:t>kg/h；</w:t>
      </w:r>
      <w:r>
        <w:rPr>
          <w:rFonts w:hint="eastAsia" w:ascii="Times New Roman" w:hAnsi="Times New Roman" w:eastAsia="楷体" w:cs="Times New Roman"/>
          <w:bCs/>
          <w:color w:val="auto"/>
          <w:sz w:val="28"/>
          <w:szCs w:val="28"/>
          <w:lang w:eastAsia="zh-CN"/>
        </w:rPr>
        <w:t>氮氧化物最高排放浓度为118mg/m</w:t>
      </w:r>
      <w:r>
        <w:rPr>
          <w:rFonts w:hint="eastAsia" w:ascii="Times New Roman" w:hAnsi="Times New Roman" w:eastAsia="楷体" w:cs="Times New Roman"/>
          <w:bCs/>
          <w:color w:val="auto"/>
          <w:sz w:val="28"/>
          <w:szCs w:val="28"/>
          <w:vertAlign w:val="superscript"/>
          <w:lang w:eastAsia="zh-CN"/>
        </w:rPr>
        <w:t>3</w:t>
      </w:r>
      <w:r>
        <w:rPr>
          <w:rFonts w:hint="eastAsia" w:ascii="Times New Roman" w:hAnsi="Times New Roman" w:eastAsia="楷体" w:cs="Times New Roman"/>
          <w:bCs/>
          <w:color w:val="auto"/>
          <w:sz w:val="28"/>
          <w:szCs w:val="28"/>
          <w:lang w:eastAsia="zh-CN"/>
        </w:rPr>
        <w:t>，排放速率最高为0.080kg/h</w:t>
      </w:r>
      <w:r>
        <w:rPr>
          <w:rFonts w:hint="default" w:ascii="Times New Roman" w:hAnsi="Times New Roman" w:eastAsia="楷体" w:cs="Times New Roman"/>
          <w:bCs/>
          <w:color w:val="auto"/>
          <w:sz w:val="28"/>
          <w:szCs w:val="28"/>
        </w:rPr>
        <w:t>，均满</w:t>
      </w:r>
      <w:r>
        <w:rPr>
          <w:rFonts w:hint="default" w:ascii="Times New Roman" w:hAnsi="Times New Roman" w:eastAsia="楷体" w:cs="Times New Roman"/>
          <w:bCs/>
          <w:color w:val="000000"/>
          <w:sz w:val="28"/>
          <w:szCs w:val="28"/>
        </w:rPr>
        <w:t>足《山东省区域性大气污染物综合排放标准》（DB37/2376-2013）表2“一般控制区”排放浓度限值及《大气污染物综合排放标准》（GB16297-1996）表2中相关排放速率二级限值标准。无组织颗粒物小时浓度最高</w:t>
      </w:r>
      <w:r>
        <w:rPr>
          <w:rFonts w:hint="eastAsia" w:ascii="Times New Roman" w:hAnsi="Times New Roman" w:eastAsia="楷体" w:cs="Times New Roman"/>
          <w:bCs/>
          <w:color w:val="000000"/>
          <w:sz w:val="28"/>
          <w:szCs w:val="28"/>
          <w:lang w:eastAsia="zh-CN"/>
        </w:rPr>
        <w:t>为0.698</w:t>
      </w:r>
      <w:r>
        <w:rPr>
          <w:rFonts w:hint="default" w:ascii="Times New Roman" w:hAnsi="Times New Roman" w:eastAsia="楷体" w:cs="Times New Roman"/>
          <w:bCs/>
          <w:color w:val="000000"/>
          <w:sz w:val="28"/>
          <w:szCs w:val="28"/>
        </w:rPr>
        <w:t>mg/m</w:t>
      </w:r>
      <w:r>
        <w:rPr>
          <w:rFonts w:hint="default" w:ascii="Times New Roman" w:hAnsi="Times New Roman" w:eastAsia="楷体" w:cs="Times New Roman"/>
          <w:bCs/>
          <w:color w:val="000000"/>
          <w:sz w:val="28"/>
          <w:szCs w:val="28"/>
          <w:vertAlign w:val="superscript"/>
        </w:rPr>
        <w:t>3</w:t>
      </w:r>
      <w:r>
        <w:rPr>
          <w:rFonts w:hint="default" w:ascii="Times New Roman" w:hAnsi="Times New Roman" w:eastAsia="楷体" w:cs="Times New Roman"/>
          <w:bCs/>
          <w:color w:val="000000"/>
          <w:sz w:val="28"/>
          <w:szCs w:val="28"/>
        </w:rPr>
        <w:t>，满足《大气污染物综合排放标准》表2中颗粒物无组织排放限值要求</w:t>
      </w:r>
      <w:r>
        <w:rPr>
          <w:rFonts w:hint="default" w:ascii="Times New Roman" w:hAnsi="Times New Roman" w:eastAsia="楷体" w:cs="Times New Roman"/>
          <w:color w:val="000000"/>
          <w:sz w:val="28"/>
          <w:szCs w:val="28"/>
        </w:rPr>
        <w:t>。</w:t>
      </w:r>
    </w:p>
    <w:p>
      <w:pPr>
        <w:spacing w:line="360" w:lineRule="auto"/>
        <w:ind w:firstLine="560" w:firstLineChars="200"/>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b w:val="0"/>
          <w:bCs w:val="0"/>
          <w:color w:val="auto"/>
          <w:sz w:val="28"/>
          <w:szCs w:val="28"/>
          <w:lang w:eastAsia="zh-CN"/>
        </w:rPr>
        <w:t>总量核查：</w:t>
      </w:r>
      <w:r>
        <w:rPr>
          <w:rFonts w:hint="default" w:ascii="Times New Roman" w:hAnsi="Times New Roman" w:eastAsia="楷体" w:cs="Times New Roman"/>
          <w:color w:val="auto"/>
          <w:sz w:val="28"/>
          <w:szCs w:val="28"/>
          <w:lang w:eastAsia="zh-CN"/>
        </w:rPr>
        <w:t>本项目实际主要污染物总量控制为：</w:t>
      </w:r>
      <w:r>
        <w:rPr>
          <w:rFonts w:hint="default" w:ascii="Times New Roman" w:hAnsi="Times New Roman" w:eastAsia="楷体" w:cs="Times New Roman"/>
          <w:sz w:val="28"/>
          <w:szCs w:val="28"/>
          <w:lang w:val="en-US" w:eastAsia="zh-CN"/>
        </w:rPr>
        <w:t>SO</w:t>
      </w:r>
      <w:r>
        <w:rPr>
          <w:rFonts w:hint="default" w:ascii="Times New Roman" w:hAnsi="Times New Roman" w:eastAsia="楷体" w:cs="Times New Roman"/>
          <w:sz w:val="28"/>
          <w:szCs w:val="28"/>
          <w:vertAlign w:val="subscript"/>
          <w:lang w:val="en-US" w:eastAsia="zh-CN"/>
        </w:rPr>
        <w:t>2</w:t>
      </w:r>
      <w:r>
        <w:rPr>
          <w:rFonts w:hint="default" w:ascii="Times New Roman" w:hAnsi="Times New Roman" w:eastAsia="楷体" w:cs="Times New Roman"/>
          <w:sz w:val="28"/>
          <w:szCs w:val="28"/>
          <w:vertAlign w:val="baseline"/>
          <w:lang w:val="en-US" w:eastAsia="zh-CN"/>
        </w:rPr>
        <w:t>0.00</w:t>
      </w:r>
      <w:r>
        <w:rPr>
          <w:rFonts w:hint="eastAsia" w:ascii="Times New Roman" w:hAnsi="Times New Roman" w:eastAsia="楷体" w:cs="Times New Roman"/>
          <w:sz w:val="28"/>
          <w:szCs w:val="28"/>
          <w:vertAlign w:val="baseline"/>
          <w:lang w:val="en-US" w:eastAsia="zh-CN"/>
        </w:rPr>
        <w:t>24</w:t>
      </w:r>
      <w:r>
        <w:rPr>
          <w:rFonts w:hint="default" w:ascii="Times New Roman" w:hAnsi="Times New Roman" w:eastAsia="楷体" w:cs="Times New Roman"/>
          <w:sz w:val="28"/>
          <w:szCs w:val="28"/>
          <w:vertAlign w:val="baseline"/>
          <w:lang w:val="en-US" w:eastAsia="zh-CN"/>
        </w:rPr>
        <w:t>t/a、</w:t>
      </w:r>
      <w:r>
        <w:rPr>
          <w:rFonts w:hint="default" w:ascii="Times New Roman" w:hAnsi="Times New Roman" w:eastAsia="楷体" w:cs="Times New Roman"/>
          <w:color w:val="auto"/>
          <w:sz w:val="28"/>
          <w:szCs w:val="28"/>
          <w:lang w:val="en-US" w:eastAsia="zh-CN"/>
        </w:rPr>
        <w:t>NO</w:t>
      </w:r>
      <w:r>
        <w:rPr>
          <w:rFonts w:hint="default" w:ascii="Times New Roman" w:hAnsi="Times New Roman" w:eastAsia="楷体" w:cs="Times New Roman"/>
          <w:color w:val="auto"/>
          <w:sz w:val="28"/>
          <w:szCs w:val="28"/>
          <w:vertAlign w:val="subscript"/>
          <w:lang w:val="en-US" w:eastAsia="zh-CN"/>
        </w:rPr>
        <w:t>x</w:t>
      </w:r>
      <w:r>
        <w:rPr>
          <w:rFonts w:hint="default" w:ascii="Times New Roman" w:hAnsi="Times New Roman" w:eastAsia="楷体" w:cs="Times New Roman"/>
          <w:color w:val="auto"/>
          <w:sz w:val="28"/>
          <w:szCs w:val="28"/>
          <w:lang w:val="en-US" w:eastAsia="zh-CN"/>
        </w:rPr>
        <w:t>0.0</w:t>
      </w:r>
      <w:r>
        <w:rPr>
          <w:rFonts w:hint="eastAsia" w:ascii="Times New Roman" w:hAnsi="Times New Roman" w:eastAsia="楷体" w:cs="Times New Roman"/>
          <w:color w:val="auto"/>
          <w:sz w:val="28"/>
          <w:szCs w:val="28"/>
          <w:lang w:val="en-US" w:eastAsia="zh-CN"/>
        </w:rPr>
        <w:t>48</w:t>
      </w:r>
      <w:r>
        <w:rPr>
          <w:rFonts w:hint="default" w:ascii="Times New Roman" w:hAnsi="Times New Roman" w:eastAsia="楷体" w:cs="Times New Roman"/>
          <w:color w:val="auto"/>
          <w:sz w:val="28"/>
          <w:szCs w:val="28"/>
          <w:lang w:val="en-US" w:eastAsia="zh-CN"/>
        </w:rPr>
        <w:t>t/a，验收期间产能</w:t>
      </w:r>
      <w:r>
        <w:rPr>
          <w:rFonts w:hint="eastAsia" w:ascii="Times New Roman" w:hAnsi="Times New Roman" w:eastAsia="楷体" w:cs="Times New Roman"/>
          <w:color w:val="auto"/>
          <w:sz w:val="28"/>
          <w:szCs w:val="28"/>
          <w:lang w:val="en-US" w:eastAsia="zh-CN"/>
        </w:rPr>
        <w:t>约</w:t>
      </w:r>
      <w:r>
        <w:rPr>
          <w:rFonts w:hint="default" w:ascii="Times New Roman" w:hAnsi="Times New Roman" w:eastAsia="楷体" w:cs="Times New Roman"/>
          <w:color w:val="auto"/>
          <w:sz w:val="28"/>
          <w:szCs w:val="28"/>
          <w:lang w:val="en-US" w:eastAsia="zh-CN"/>
        </w:rPr>
        <w:t>为</w:t>
      </w:r>
      <w:r>
        <w:rPr>
          <w:rFonts w:hint="eastAsia" w:ascii="Times New Roman" w:hAnsi="Times New Roman" w:eastAsia="楷体" w:cs="Times New Roman"/>
          <w:color w:val="auto"/>
          <w:sz w:val="28"/>
          <w:szCs w:val="28"/>
          <w:lang w:val="en-US" w:eastAsia="zh-CN"/>
        </w:rPr>
        <w:t>91</w:t>
      </w:r>
      <w:r>
        <w:rPr>
          <w:rFonts w:hint="default" w:ascii="Times New Roman" w:hAnsi="Times New Roman" w:eastAsia="楷体" w:cs="Times New Roman"/>
          <w:color w:val="auto"/>
          <w:sz w:val="28"/>
          <w:szCs w:val="28"/>
          <w:lang w:val="en-US" w:eastAsia="zh-CN"/>
        </w:rPr>
        <w:t>%，折算为满负荷后，本项目实际主要污染物排放总量为：</w:t>
      </w:r>
      <w:r>
        <w:rPr>
          <w:rFonts w:hint="default" w:ascii="Times New Roman" w:hAnsi="Times New Roman" w:eastAsia="楷体" w:cs="Times New Roman"/>
          <w:sz w:val="28"/>
          <w:szCs w:val="28"/>
          <w:lang w:val="en-US" w:eastAsia="zh-CN"/>
        </w:rPr>
        <w:t>SO</w:t>
      </w:r>
      <w:r>
        <w:rPr>
          <w:rFonts w:hint="default" w:ascii="Times New Roman" w:hAnsi="Times New Roman" w:eastAsia="楷体" w:cs="Times New Roman"/>
          <w:sz w:val="28"/>
          <w:szCs w:val="28"/>
          <w:vertAlign w:val="subscript"/>
          <w:lang w:val="en-US" w:eastAsia="zh-CN"/>
        </w:rPr>
        <w:t>2</w:t>
      </w:r>
      <w:r>
        <w:rPr>
          <w:rFonts w:hint="default" w:ascii="Times New Roman" w:hAnsi="Times New Roman" w:eastAsia="楷体" w:cs="Times New Roman"/>
          <w:sz w:val="28"/>
          <w:szCs w:val="28"/>
          <w:vertAlign w:val="baseline"/>
          <w:lang w:val="en-US" w:eastAsia="zh-CN"/>
        </w:rPr>
        <w:t>0.00</w:t>
      </w:r>
      <w:r>
        <w:rPr>
          <w:rFonts w:hint="eastAsia" w:ascii="Times New Roman" w:hAnsi="Times New Roman" w:eastAsia="楷体" w:cs="Times New Roman"/>
          <w:sz w:val="28"/>
          <w:szCs w:val="28"/>
          <w:vertAlign w:val="baseline"/>
          <w:lang w:val="en-US" w:eastAsia="zh-CN"/>
        </w:rPr>
        <w:t>26</w:t>
      </w:r>
      <w:r>
        <w:rPr>
          <w:rFonts w:hint="default" w:ascii="Times New Roman" w:hAnsi="Times New Roman" w:eastAsia="楷体" w:cs="Times New Roman"/>
          <w:sz w:val="28"/>
          <w:szCs w:val="28"/>
          <w:vertAlign w:val="baseline"/>
          <w:lang w:val="en-US" w:eastAsia="zh-CN"/>
        </w:rPr>
        <w:t>t/a、</w:t>
      </w:r>
      <w:r>
        <w:rPr>
          <w:rFonts w:hint="default" w:ascii="Times New Roman" w:hAnsi="Times New Roman" w:eastAsia="楷体" w:cs="Times New Roman"/>
          <w:color w:val="auto"/>
          <w:sz w:val="28"/>
          <w:szCs w:val="28"/>
          <w:lang w:val="en-US" w:eastAsia="zh-CN"/>
        </w:rPr>
        <w:t>NO</w:t>
      </w:r>
      <w:r>
        <w:rPr>
          <w:rFonts w:hint="default" w:ascii="Times New Roman" w:hAnsi="Times New Roman" w:eastAsia="楷体" w:cs="Times New Roman"/>
          <w:color w:val="auto"/>
          <w:sz w:val="28"/>
          <w:szCs w:val="28"/>
          <w:vertAlign w:val="subscript"/>
          <w:lang w:val="en-US" w:eastAsia="zh-CN"/>
        </w:rPr>
        <w:t>x</w:t>
      </w:r>
      <w:r>
        <w:rPr>
          <w:rFonts w:hint="default" w:ascii="Times New Roman" w:hAnsi="Times New Roman" w:eastAsia="楷体" w:cs="Times New Roman"/>
          <w:color w:val="auto"/>
          <w:sz w:val="28"/>
          <w:szCs w:val="28"/>
          <w:lang w:val="en-US" w:eastAsia="zh-CN"/>
        </w:rPr>
        <w:t>0.0</w:t>
      </w:r>
      <w:r>
        <w:rPr>
          <w:rFonts w:hint="eastAsia" w:ascii="Times New Roman" w:hAnsi="Times New Roman" w:eastAsia="楷体" w:cs="Times New Roman"/>
          <w:color w:val="auto"/>
          <w:sz w:val="28"/>
          <w:szCs w:val="28"/>
          <w:lang w:val="en-US" w:eastAsia="zh-CN"/>
        </w:rPr>
        <w:t>527</w:t>
      </w:r>
      <w:r>
        <w:rPr>
          <w:rFonts w:hint="default" w:ascii="Times New Roman" w:hAnsi="Times New Roman" w:eastAsia="楷体" w:cs="Times New Roman"/>
          <w:color w:val="auto"/>
          <w:sz w:val="28"/>
          <w:szCs w:val="28"/>
          <w:lang w:val="en-US" w:eastAsia="zh-CN"/>
        </w:rPr>
        <w:t>t/a，本项目已在聊城市环保局东昌府分局总量办确认的主要污染物总量控制指标要求：</w:t>
      </w:r>
      <w:r>
        <w:rPr>
          <w:rFonts w:hint="default" w:ascii="Times New Roman" w:hAnsi="Times New Roman" w:eastAsia="楷体" w:cs="Times New Roman"/>
          <w:sz w:val="28"/>
          <w:szCs w:val="28"/>
          <w:lang w:val="en-US" w:eastAsia="zh-CN"/>
        </w:rPr>
        <w:t>SO</w:t>
      </w:r>
      <w:r>
        <w:rPr>
          <w:rFonts w:hint="default" w:ascii="Times New Roman" w:hAnsi="Times New Roman" w:eastAsia="楷体" w:cs="Times New Roman"/>
          <w:sz w:val="28"/>
          <w:szCs w:val="28"/>
          <w:vertAlign w:val="subscript"/>
          <w:lang w:val="en-US" w:eastAsia="zh-CN"/>
        </w:rPr>
        <w:t>2</w:t>
      </w:r>
      <w:r>
        <w:rPr>
          <w:rFonts w:hint="default" w:ascii="Times New Roman" w:hAnsi="Times New Roman" w:eastAsia="楷体" w:cs="Times New Roman"/>
          <w:sz w:val="28"/>
          <w:szCs w:val="28"/>
          <w:vertAlign w:val="baseline"/>
          <w:lang w:val="en-US" w:eastAsia="zh-CN"/>
        </w:rPr>
        <w:t>0.0</w:t>
      </w:r>
      <w:r>
        <w:rPr>
          <w:rFonts w:hint="eastAsia" w:ascii="Times New Roman" w:hAnsi="Times New Roman" w:eastAsia="楷体" w:cs="Times New Roman"/>
          <w:sz w:val="28"/>
          <w:szCs w:val="28"/>
          <w:vertAlign w:val="baseline"/>
          <w:lang w:val="en-US" w:eastAsia="zh-CN"/>
        </w:rPr>
        <w:t>03</w:t>
      </w:r>
      <w:r>
        <w:rPr>
          <w:rFonts w:hint="default" w:ascii="Times New Roman" w:hAnsi="Times New Roman" w:eastAsia="楷体" w:cs="Times New Roman"/>
          <w:sz w:val="28"/>
          <w:szCs w:val="28"/>
          <w:vertAlign w:val="baseline"/>
          <w:lang w:val="en-US" w:eastAsia="zh-CN"/>
        </w:rPr>
        <w:t>t/a、</w:t>
      </w:r>
      <w:r>
        <w:rPr>
          <w:rFonts w:hint="default" w:ascii="Times New Roman" w:hAnsi="Times New Roman" w:eastAsia="楷体" w:cs="Times New Roman"/>
          <w:color w:val="auto"/>
          <w:sz w:val="28"/>
          <w:szCs w:val="28"/>
          <w:lang w:val="en-US" w:eastAsia="zh-CN"/>
        </w:rPr>
        <w:t>NO</w:t>
      </w:r>
      <w:r>
        <w:rPr>
          <w:rFonts w:hint="default" w:ascii="Times New Roman" w:hAnsi="Times New Roman" w:eastAsia="楷体" w:cs="Times New Roman"/>
          <w:color w:val="auto"/>
          <w:sz w:val="28"/>
          <w:szCs w:val="28"/>
          <w:vertAlign w:val="subscript"/>
          <w:lang w:val="en-US" w:eastAsia="zh-CN"/>
        </w:rPr>
        <w:t>x</w:t>
      </w:r>
      <w:r>
        <w:rPr>
          <w:rFonts w:hint="default" w:ascii="Times New Roman" w:hAnsi="Times New Roman" w:eastAsia="楷体" w:cs="Times New Roman"/>
          <w:color w:val="auto"/>
          <w:sz w:val="28"/>
          <w:szCs w:val="28"/>
          <w:lang w:val="en-US" w:eastAsia="zh-CN"/>
        </w:rPr>
        <w:t>0.0</w:t>
      </w:r>
      <w:r>
        <w:rPr>
          <w:rFonts w:hint="eastAsia" w:ascii="Times New Roman" w:hAnsi="Times New Roman" w:eastAsia="楷体" w:cs="Times New Roman"/>
          <w:color w:val="auto"/>
          <w:sz w:val="28"/>
          <w:szCs w:val="28"/>
          <w:lang w:val="en-US" w:eastAsia="zh-CN"/>
        </w:rPr>
        <w:t>56</w:t>
      </w:r>
      <w:r>
        <w:rPr>
          <w:rFonts w:hint="default" w:ascii="Times New Roman" w:hAnsi="Times New Roman" w:eastAsia="楷体" w:cs="Times New Roman"/>
          <w:color w:val="auto"/>
          <w:sz w:val="28"/>
          <w:szCs w:val="28"/>
          <w:lang w:val="en-US" w:eastAsia="zh-CN"/>
        </w:rPr>
        <w:t>t/a，可以满足已申请总量控制指标</w:t>
      </w:r>
      <w:r>
        <w:rPr>
          <w:rFonts w:hint="default" w:ascii="Times New Roman" w:hAnsi="Times New Roman" w:eastAsia="楷体" w:cs="Times New Roman"/>
          <w:color w:val="auto"/>
          <w:sz w:val="28"/>
          <w:szCs w:val="28"/>
          <w:lang w:val="en-US" w:eastAsia="zh-CN"/>
        </w:rPr>
        <w:t>。</w:t>
      </w:r>
    </w:p>
    <w:p>
      <w:p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 噪声</w:t>
      </w:r>
    </w:p>
    <w:p>
      <w:pPr>
        <w:spacing w:beforeLines="50" w:line="360" w:lineRule="auto"/>
        <w:ind w:firstLine="560" w:firstLineChars="200"/>
        <w:rPr>
          <w:rFonts w:hint="default" w:ascii="Times New Roman" w:hAnsi="Times New Roman" w:eastAsia="楷体" w:cs="Times New Roman"/>
          <w:color w:val="auto"/>
          <w:sz w:val="28"/>
          <w:szCs w:val="28"/>
          <w:lang w:eastAsia="zh-CN"/>
        </w:rPr>
      </w:pPr>
      <w:r>
        <w:rPr>
          <w:rFonts w:hint="default" w:ascii="Times New Roman" w:hAnsi="Times New Roman" w:eastAsia="楷体" w:cs="Times New Roman"/>
          <w:color w:val="auto"/>
          <w:sz w:val="28"/>
          <w:szCs w:val="28"/>
          <w:lang w:val="zh-CN" w:eastAsia="zh-CN"/>
        </w:rPr>
        <w:t>验收监测期间，监测点位昼间噪声在54.2dB(A)-58.8dB(A)之间，符合《工业企业厂界环境噪声排放标准》（GB12348－2008）中的2类标准限值</w:t>
      </w:r>
      <w:r>
        <w:rPr>
          <w:rFonts w:hint="default" w:ascii="Times New Roman" w:hAnsi="Times New Roman" w:eastAsia="楷体" w:cs="Times New Roman"/>
          <w:color w:val="auto"/>
          <w:sz w:val="28"/>
          <w:szCs w:val="28"/>
          <w:lang w:eastAsia="zh-CN"/>
        </w:rPr>
        <w:t>。</w:t>
      </w:r>
    </w:p>
    <w:p>
      <w:pPr>
        <w:numPr>
          <w:ilvl w:val="0"/>
          <w:numId w:val="4"/>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zh-CN"/>
        </w:rPr>
        <w:t>该项目固体废物主要为下脚料、铁屑、废机油、废切削液和生活垃圾。下脚料、铁屑收集后外售；废机油、废切削液属于危险废物，</w:t>
      </w:r>
      <w:r>
        <w:rPr>
          <w:rFonts w:hint="default" w:ascii="Times New Roman" w:hAnsi="Times New Roman" w:eastAsia="楷体" w:cs="Times New Roman"/>
          <w:color w:val="auto"/>
          <w:sz w:val="28"/>
          <w:szCs w:val="28"/>
          <w:lang w:val="zh-CN" w:eastAsia="zh-CN"/>
        </w:rPr>
        <w:t>目前尚未产生。一旦产生，须规范放置于危废暂存间，并与有资质单位签订有效的危废处理协议，保证得到妥善处置</w:t>
      </w:r>
      <w:r>
        <w:rPr>
          <w:rFonts w:hint="default" w:ascii="Times New Roman" w:hAnsi="Times New Roman" w:eastAsia="楷体" w:cs="Times New Roman"/>
          <w:color w:val="auto"/>
          <w:sz w:val="28"/>
          <w:szCs w:val="28"/>
          <w:lang w:val="zh-CN"/>
        </w:rPr>
        <w:t>；生活垃圾收集后由环卫部门清运</w:t>
      </w:r>
      <w:r>
        <w:rPr>
          <w:rFonts w:hint="default" w:ascii="Times New Roman" w:hAnsi="Times New Roman" w:eastAsia="楷体" w:cs="Times New Roman"/>
          <w:color w:val="auto"/>
          <w:sz w:val="28"/>
          <w:szCs w:val="28"/>
        </w:rPr>
        <w:t>。</w:t>
      </w:r>
    </w:p>
    <w:p>
      <w:pPr>
        <w:spacing w:beforeLines="50" w:line="360" w:lineRule="auto"/>
        <w:ind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（二）环境管理调查</w:t>
      </w:r>
    </w:p>
    <w:p>
      <w:pPr>
        <w:spacing w:line="360" w:lineRule="auto"/>
        <w:ind w:firstLine="560" w:firstLineChars="200"/>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山东聊城江明机械设备有限公司</w:t>
      </w:r>
      <w:r>
        <w:rPr>
          <w:rFonts w:hint="default" w:ascii="Times New Roman" w:hAnsi="Times New Roman" w:eastAsia="楷体_GB2312" w:cs="Times New Roman"/>
          <w:color w:val="auto"/>
          <w:sz w:val="28"/>
          <w:szCs w:val="28"/>
        </w:rPr>
        <w:t>制定了《</w:t>
      </w:r>
      <w:r>
        <w:rPr>
          <w:rFonts w:hint="eastAsia" w:eastAsia="楷体" w:cs="Times New Roman"/>
          <w:color w:val="auto"/>
          <w:sz w:val="28"/>
          <w:szCs w:val="36"/>
          <w:lang w:eastAsia="zh-CN"/>
        </w:rPr>
        <w:t>山东聊城江明机械设备有限公司</w:t>
      </w:r>
      <w:r>
        <w:rPr>
          <w:rFonts w:hint="default" w:ascii="Times New Roman" w:hAnsi="Times New Roman" w:eastAsia="楷体_GB2312" w:cs="Times New Roman"/>
          <w:color w:val="auto"/>
          <w:sz w:val="28"/>
          <w:szCs w:val="28"/>
        </w:rPr>
        <w:t>环保管理制度》</w:t>
      </w:r>
      <w:r>
        <w:rPr>
          <w:rFonts w:hint="default" w:ascii="Times New Roman" w:hAnsi="Times New Roman" w:eastAsia="楷体_GB2312" w:cs="Times New Roman"/>
          <w:color w:val="auto"/>
          <w:sz w:val="28"/>
          <w:szCs w:val="28"/>
          <w:lang w:eastAsia="zh-CN"/>
        </w:rPr>
        <w:t>，</w:t>
      </w:r>
      <w:r>
        <w:rPr>
          <w:rFonts w:hint="default" w:ascii="Times New Roman" w:hAnsi="Times New Roman" w:eastAsia="楷体_GB2312" w:cs="Times New Roman"/>
          <w:color w:val="auto"/>
          <w:sz w:val="28"/>
          <w:szCs w:val="28"/>
        </w:rPr>
        <w:t>并设立了相关机构。日常工作由</w:t>
      </w:r>
      <w:r>
        <w:rPr>
          <w:rFonts w:hint="eastAsia" w:eastAsia="楷体_GB2312" w:cs="Times New Roman"/>
          <w:color w:val="auto"/>
          <w:sz w:val="28"/>
          <w:szCs w:val="28"/>
          <w:lang w:eastAsia="zh-CN"/>
        </w:rPr>
        <w:t>办公室</w:t>
      </w:r>
      <w:r>
        <w:rPr>
          <w:rFonts w:hint="default" w:ascii="Times New Roman" w:hAnsi="Times New Roman" w:eastAsia="楷体_GB2312"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五、专家意见：</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楷体_GB2312" w:cs="Times New Roman"/>
          <w:color w:val="auto"/>
          <w:sz w:val="28"/>
          <w:szCs w:val="28"/>
          <w:highlight w:val="none"/>
          <w:lang w:val="en-US" w:eastAsia="zh-CN"/>
        </w:rPr>
      </w:pPr>
      <w:r>
        <w:rPr>
          <w:rFonts w:hint="eastAsia" w:ascii="Times New Roman" w:hAnsi="Times New Roman" w:eastAsia="楷体_GB2312" w:cs="Times New Roman"/>
          <w:color w:val="auto"/>
          <w:sz w:val="28"/>
          <w:szCs w:val="28"/>
          <w:highlight w:val="none"/>
          <w:lang w:val="en-US" w:eastAsia="zh-CN"/>
        </w:rPr>
        <w:t>车间周围注意保持清洁，避免跑、冒、滴、漏；</w:t>
      </w:r>
    </w:p>
    <w:p>
      <w:pPr>
        <w:pStyle w:val="5"/>
        <w:numPr>
          <w:ilvl w:val="0"/>
          <w:numId w:val="5"/>
        </w:numPr>
        <w:ind w:left="560" w:leftChars="0" w:firstLine="0" w:firstLineChars="0"/>
        <w:rPr>
          <w:rFonts w:hint="default" w:ascii="Times New Roman" w:hAnsi="Times New Roman" w:eastAsia="楷体_GB2312" w:cs="Times New Roman"/>
          <w:color w:val="auto"/>
          <w:sz w:val="28"/>
          <w:szCs w:val="28"/>
          <w:lang w:val="en-US" w:eastAsia="zh-CN"/>
        </w:rPr>
      </w:pPr>
      <w:r>
        <w:rPr>
          <w:rFonts w:hint="eastAsia" w:ascii="Times New Roman" w:hAnsi="Times New Roman" w:eastAsia="楷体_GB2312" w:cs="Times New Roman"/>
          <w:color w:val="auto"/>
          <w:sz w:val="28"/>
          <w:szCs w:val="28"/>
          <w:lang w:val="en-US" w:eastAsia="zh-CN"/>
        </w:rPr>
        <w:t>危废间建立相关制度，设双锁，门口玻璃加防护网，危废间内杂物清理；</w:t>
      </w:r>
    </w:p>
    <w:p>
      <w:pPr>
        <w:pStyle w:val="5"/>
        <w:numPr>
          <w:ilvl w:val="0"/>
          <w:numId w:val="5"/>
        </w:numPr>
        <w:ind w:left="560" w:leftChars="0" w:firstLine="0" w:firstLineChars="0"/>
        <w:rPr>
          <w:rFonts w:hint="default" w:ascii="Times New Roman" w:hAnsi="Times New Roman" w:eastAsia="楷体_GB2312" w:cs="Times New Roman"/>
          <w:color w:val="auto"/>
          <w:sz w:val="28"/>
          <w:szCs w:val="28"/>
          <w:lang w:val="en-US" w:eastAsia="zh-CN"/>
        </w:rPr>
      </w:pPr>
      <w:r>
        <w:rPr>
          <w:rFonts w:hint="eastAsia" w:ascii="Times New Roman" w:hAnsi="Times New Roman" w:eastAsia="楷体_GB2312" w:cs="Times New Roman"/>
          <w:color w:val="auto"/>
          <w:sz w:val="28"/>
          <w:szCs w:val="28"/>
          <w:lang w:val="en-US" w:eastAsia="zh-CN"/>
        </w:rPr>
        <w:t>危废暂未产生，产生时需委托有资质的单位处理。</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六、</w:t>
      </w:r>
      <w:r>
        <w:rPr>
          <w:rFonts w:hint="default" w:ascii="Times New Roman" w:hAnsi="Times New Roman" w:eastAsia="楷体_GB2312" w:cs="Times New Roman"/>
          <w:color w:val="auto"/>
          <w:sz w:val="28"/>
          <w:szCs w:val="28"/>
        </w:rPr>
        <w:t>验收结论</w:t>
      </w:r>
    </w:p>
    <w:p>
      <w:pPr>
        <w:spacing w:line="360" w:lineRule="auto"/>
        <w:ind w:firstLine="555"/>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p>
    <w:p>
      <w:pPr>
        <w:spacing w:line="360" w:lineRule="auto"/>
        <w:jc w:val="right"/>
        <w:rPr>
          <w:rFonts w:hint="default" w:ascii="Times New Roman" w:hAnsi="Times New Roman" w:eastAsia="楷体_GB2312" w:cs="Times New Roman"/>
          <w:color w:val="auto"/>
          <w:sz w:val="28"/>
          <w:szCs w:val="28"/>
        </w:rPr>
      </w:pPr>
    </w:p>
    <w:p>
      <w:pPr>
        <w:spacing w:line="360" w:lineRule="auto"/>
        <w:jc w:val="right"/>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山东聊城江明机械设备有限公司</w:t>
      </w:r>
      <w:r>
        <w:rPr>
          <w:rFonts w:hint="default" w:ascii="Times New Roman" w:hAnsi="Times New Roman" w:eastAsia="楷体_GB2312" w:cs="Times New Roman"/>
          <w:color w:val="auto"/>
          <w:sz w:val="28"/>
          <w:szCs w:val="28"/>
        </w:rPr>
        <w:t>验收组</w:t>
      </w:r>
    </w:p>
    <w:p>
      <w:pPr>
        <w:spacing w:line="360" w:lineRule="auto"/>
        <w:jc w:val="right"/>
        <w:rPr>
          <w:rFonts w:hint="default" w:ascii="Times New Roman" w:hAnsi="Times New Roman" w:eastAsia="宋体" w:cs="Times New Roman"/>
          <w:color w:val="auto"/>
          <w:highlight w:val="none"/>
          <w:lang w:eastAsia="zh-CN"/>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 xml:space="preserve">                      201</w:t>
      </w:r>
      <w:r>
        <w:rPr>
          <w:rFonts w:hint="eastAsia" w:eastAsia="楷体_GB2312" w:cs="Times New Roman"/>
          <w:color w:val="auto"/>
          <w:sz w:val="28"/>
          <w:szCs w:val="28"/>
          <w:highlight w:val="none"/>
          <w:lang w:val="en-US" w:eastAsia="zh-CN"/>
        </w:rPr>
        <w:t>9</w:t>
      </w:r>
      <w:r>
        <w:rPr>
          <w:rFonts w:hint="default" w:ascii="Times New Roman" w:hAnsi="Times New Roman" w:eastAsia="楷体_GB2312" w:cs="Times New Roman"/>
          <w:color w:val="auto"/>
          <w:sz w:val="28"/>
          <w:szCs w:val="28"/>
          <w:highlight w:val="none"/>
        </w:rPr>
        <w:t>年</w:t>
      </w:r>
      <w:r>
        <w:rPr>
          <w:rFonts w:hint="eastAsia" w:eastAsia="楷体_GB2312" w:cs="Times New Roman"/>
          <w:color w:val="auto"/>
          <w:sz w:val="28"/>
          <w:szCs w:val="28"/>
          <w:highlight w:val="none"/>
          <w:lang w:val="en-US" w:eastAsia="zh-CN"/>
        </w:rPr>
        <w:t>3</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15</w:t>
      </w:r>
      <w:r>
        <w:rPr>
          <w:rFonts w:hint="default" w:ascii="Times New Roman" w:hAnsi="Times New Roman" w:eastAsia="楷体_GB2312" w:cs="Times New Roman"/>
          <w:color w:val="auto"/>
          <w:sz w:val="28"/>
          <w:szCs w:val="28"/>
          <w:highlight w:val="none"/>
        </w:rPr>
        <w:t>日</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76E6C77"/>
    <w:rsid w:val="09355554"/>
    <w:rsid w:val="0A775B6C"/>
    <w:rsid w:val="0BB105F9"/>
    <w:rsid w:val="0BCD78E3"/>
    <w:rsid w:val="0BD4352F"/>
    <w:rsid w:val="0DE72844"/>
    <w:rsid w:val="110D6D4E"/>
    <w:rsid w:val="12BA0E04"/>
    <w:rsid w:val="13242E95"/>
    <w:rsid w:val="185D26F5"/>
    <w:rsid w:val="18D05E89"/>
    <w:rsid w:val="19990D6D"/>
    <w:rsid w:val="19BD6A9B"/>
    <w:rsid w:val="1A167364"/>
    <w:rsid w:val="1AAF6CA7"/>
    <w:rsid w:val="1B753DC5"/>
    <w:rsid w:val="1BED7819"/>
    <w:rsid w:val="21E62141"/>
    <w:rsid w:val="27420539"/>
    <w:rsid w:val="284C33EF"/>
    <w:rsid w:val="286B6E9D"/>
    <w:rsid w:val="2BFB35B9"/>
    <w:rsid w:val="31572BC2"/>
    <w:rsid w:val="3B2962D5"/>
    <w:rsid w:val="3C614E95"/>
    <w:rsid w:val="3D481CA9"/>
    <w:rsid w:val="425A3055"/>
    <w:rsid w:val="42D02360"/>
    <w:rsid w:val="440B2C50"/>
    <w:rsid w:val="45B12AB5"/>
    <w:rsid w:val="502A1EDA"/>
    <w:rsid w:val="50805A3A"/>
    <w:rsid w:val="51603323"/>
    <w:rsid w:val="52082039"/>
    <w:rsid w:val="520B1012"/>
    <w:rsid w:val="523709EA"/>
    <w:rsid w:val="56DD1623"/>
    <w:rsid w:val="56E92A9E"/>
    <w:rsid w:val="5818757E"/>
    <w:rsid w:val="5B994AD0"/>
    <w:rsid w:val="5F0C4CFF"/>
    <w:rsid w:val="5FEF2ADB"/>
    <w:rsid w:val="65826A80"/>
    <w:rsid w:val="66FB5067"/>
    <w:rsid w:val="6A4209DB"/>
    <w:rsid w:val="6ABA50EB"/>
    <w:rsid w:val="6DEB0CC4"/>
    <w:rsid w:val="6E620EC2"/>
    <w:rsid w:val="775F7227"/>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2019-04-01T07:02:33Z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