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eastAsia="宋体" w:cs="Times New Roman"/>
          <w:b/>
          <w:color w:val="auto"/>
          <w:sz w:val="32"/>
          <w:szCs w:val="32"/>
          <w:lang w:val="en-US" w:eastAsia="zh-CN"/>
        </w:rPr>
      </w:pPr>
      <w:r>
        <w:rPr>
          <w:rFonts w:hint="eastAsia" w:cs="Times New Roman"/>
          <w:b/>
          <w:color w:val="auto"/>
          <w:sz w:val="32"/>
          <w:szCs w:val="32"/>
          <w:lang w:val="en-US" w:eastAsia="zh-CN"/>
        </w:rPr>
        <w:t>东阿县天宇轴承配件有限公司年产20万套轴承套圈项目</w:t>
      </w:r>
      <w:r>
        <w:rPr>
          <w:rFonts w:hint="default" w:ascii="Times New Roman" w:hAnsi="Times New Roman" w:eastAsia="宋体" w:cs="Times New Roman"/>
          <w:b/>
          <w:color w:val="auto"/>
          <w:sz w:val="32"/>
          <w:szCs w:val="32"/>
          <w:lang w:val="en-US" w:eastAsia="zh-CN"/>
        </w:rPr>
        <w:t>（一期）</w:t>
      </w:r>
    </w:p>
    <w:p>
      <w:pPr>
        <w:tabs>
          <w:tab w:val="left" w:pos="360"/>
        </w:tabs>
        <w:spacing w:line="360" w:lineRule="auto"/>
        <w:ind w:left="298" w:leftChars="142"/>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360"/>
        </w:tabs>
        <w:spacing w:line="360" w:lineRule="auto"/>
        <w:ind w:left="298" w:leftChars="142"/>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21</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东阿县天宇轴承配件有限公司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年产20万套轴承套圈项目</w:t>
      </w:r>
      <w:r>
        <w:rPr>
          <w:rFonts w:hint="default" w:ascii="Times New Roman" w:hAnsi="Times New Roman" w:eastAsia="宋体" w:cs="Times New Roman"/>
          <w:color w:val="auto"/>
          <w:sz w:val="28"/>
          <w:szCs w:val="28"/>
          <w:highlight w:val="none"/>
          <w:lang w:val="en-US" w:eastAsia="zh-CN"/>
        </w:rPr>
        <w:t>（一期）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东阿县天宇轴承配件有限公司</w:t>
      </w:r>
      <w:r>
        <w:rPr>
          <w:rFonts w:hint="default" w:ascii="Times New Roman" w:hAnsi="Times New Roman" w:eastAsia="宋体" w:cs="Times New Roman"/>
          <w:color w:val="auto"/>
          <w:sz w:val="28"/>
          <w:szCs w:val="28"/>
        </w:rPr>
        <w:t>）、环评单位（</w:t>
      </w:r>
      <w:r>
        <w:rPr>
          <w:rFonts w:hint="eastAsia" w:cs="Times New Roman"/>
          <w:color w:val="auto"/>
          <w:sz w:val="28"/>
          <w:szCs w:val="28"/>
          <w:lang w:val="en-US" w:eastAsia="zh-CN"/>
        </w:rPr>
        <w:t>聊城大学</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0" w:leftChars="0" w:firstLine="840" w:firstLineChars="3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项目建设地点</w:t>
      </w:r>
      <w:r>
        <w:rPr>
          <w:rFonts w:hint="default" w:ascii="Times New Roman" w:hAnsi="Times New Roman" w:eastAsia="宋体" w:cs="Times New Roman"/>
          <w:color w:val="auto"/>
          <w:sz w:val="28"/>
          <w:szCs w:val="28"/>
          <w:lang w:eastAsia="zh-CN"/>
        </w:rPr>
        <w:t>位于</w:t>
      </w:r>
      <w:r>
        <w:rPr>
          <w:rFonts w:hint="eastAsia" w:cs="Times New Roman"/>
          <w:color w:val="auto"/>
          <w:sz w:val="28"/>
          <w:szCs w:val="28"/>
          <w:lang w:eastAsia="zh-CN"/>
        </w:rPr>
        <w:t>东阿县大桥镇张山村（原十六运输队）</w:t>
      </w:r>
      <w:r>
        <w:rPr>
          <w:rFonts w:hint="eastAsia" w:cs="Times New Roman"/>
          <w:color w:val="auto"/>
          <w:sz w:val="28"/>
          <w:szCs w:val="28"/>
          <w:lang w:val="en-US" w:eastAsia="zh-CN"/>
        </w:rPr>
        <w:t>，</w:t>
      </w:r>
      <w:r>
        <w:rPr>
          <w:rFonts w:hint="default" w:ascii="Times New Roman" w:hAnsi="Times New Roman" w:eastAsia="宋体" w:cs="Times New Roman"/>
          <w:color w:val="auto"/>
          <w:sz w:val="28"/>
          <w:szCs w:val="28"/>
        </w:rPr>
        <w:t>占地</w:t>
      </w:r>
      <w:r>
        <w:rPr>
          <w:rFonts w:hint="default" w:ascii="Times New Roman" w:hAnsi="Times New Roman" w:eastAsia="宋体" w:cs="Times New Roman"/>
          <w:color w:val="auto"/>
          <w:sz w:val="28"/>
          <w:szCs w:val="28"/>
          <w:lang w:eastAsia="zh-CN"/>
        </w:rPr>
        <w:t>面积</w:t>
      </w:r>
      <w:r>
        <w:rPr>
          <w:rFonts w:hint="eastAsia" w:cs="Times New Roman"/>
          <w:color w:val="auto"/>
          <w:sz w:val="28"/>
          <w:szCs w:val="28"/>
          <w:lang w:val="en-US" w:eastAsia="zh-CN"/>
        </w:rPr>
        <w:t>50</w:t>
      </w:r>
      <w:r>
        <w:rPr>
          <w:rFonts w:hint="default" w:ascii="Times New Roman" w:hAnsi="Times New Roman" w:eastAsia="宋体" w:cs="Times New Roman"/>
          <w:color w:val="auto"/>
          <w:sz w:val="28"/>
          <w:szCs w:val="28"/>
          <w:lang w:val="en-US" w:eastAsia="zh-CN"/>
        </w:rPr>
        <w:t>0</w:t>
      </w:r>
      <w:r>
        <w:rPr>
          <w:rFonts w:hint="default" w:ascii="Times New Roman" w:hAnsi="Times New Roman" w:eastAsia="宋体" w:cs="Times New Roman"/>
          <w:color w:val="auto"/>
          <w:sz w:val="28"/>
          <w:szCs w:val="28"/>
        </w:rPr>
        <w:t>m</w:t>
      </w:r>
      <w:r>
        <w:rPr>
          <w:rFonts w:hint="default" w:ascii="Times New Roman" w:hAnsi="Times New Roman" w:eastAsia="宋体" w:cs="Times New Roman"/>
          <w:color w:val="auto"/>
          <w:sz w:val="28"/>
          <w:szCs w:val="28"/>
          <w:vertAlign w:val="superscript"/>
        </w:rPr>
        <w:t>2</w:t>
      </w:r>
      <w:r>
        <w:rPr>
          <w:rFonts w:hint="eastAsia" w:cs="Times New Roman"/>
          <w:color w:val="auto"/>
          <w:sz w:val="28"/>
          <w:szCs w:val="28"/>
          <w:vertAlign w:val="baseline"/>
          <w:lang w:eastAsia="zh-CN"/>
        </w:rPr>
        <w:t>，</w:t>
      </w:r>
      <w:r>
        <w:rPr>
          <w:rFonts w:hint="eastAsia" w:cs="Times New Roman"/>
          <w:color w:val="auto"/>
          <w:sz w:val="28"/>
          <w:szCs w:val="28"/>
          <w:lang w:val="en-US" w:eastAsia="zh-CN"/>
        </w:rPr>
        <w:t>总投资60万元，建设年产20万套轴承套圈项目</w:t>
      </w:r>
      <w:r>
        <w:rPr>
          <w:rFonts w:hint="eastAsia" w:cs="Times New Roman"/>
          <w:color w:val="auto"/>
          <w:sz w:val="28"/>
          <w:szCs w:val="28"/>
          <w:lang w:eastAsia="zh-CN"/>
        </w:rPr>
        <w:t>。</w:t>
      </w:r>
      <w:r>
        <w:rPr>
          <w:rFonts w:hint="default" w:ascii="Times New Roman" w:hAnsi="Times New Roman" w:eastAsia="宋体" w:cs="Times New Roman"/>
          <w:color w:val="auto"/>
          <w:sz w:val="28"/>
          <w:szCs w:val="28"/>
          <w:lang w:val="en-US" w:eastAsia="zh-CN"/>
        </w:rPr>
        <w:t>购置车床及钻床等设备</w:t>
      </w:r>
      <w:r>
        <w:rPr>
          <w:rFonts w:hint="default" w:ascii="Times New Roman" w:hAnsi="Times New Roman" w:eastAsia="宋体" w:cs="Times New Roman"/>
          <w:color w:val="auto"/>
          <w:sz w:val="28"/>
          <w:szCs w:val="28"/>
          <w:lang w:eastAsia="zh-CN"/>
        </w:rPr>
        <w:t>及配套环保设施。</w:t>
      </w:r>
    </w:p>
    <w:p>
      <w:pPr>
        <w:tabs>
          <w:tab w:val="left" w:pos="210"/>
          <w:tab w:val="left" w:pos="360"/>
        </w:tabs>
        <w:spacing w:line="360" w:lineRule="auto"/>
        <w:ind w:left="17" w:leftChars="8" w:firstLine="840" w:firstLineChars="3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8"/>
          <w:szCs w:val="28"/>
          <w:lang w:val="en-US" w:eastAsia="zh-CN"/>
        </w:rPr>
        <w:t>通过现场调查，仪表车床比环评设计数量少二十一台，钻床比环评设计数量少一台，应分期验收，本次验收为一期。一期总投资40万元，</w:t>
      </w:r>
      <w:r>
        <w:rPr>
          <w:rFonts w:hint="eastAsia" w:cs="Times New Roman"/>
          <w:color w:val="auto"/>
          <w:sz w:val="28"/>
          <w:szCs w:val="28"/>
          <w:lang w:val="en-US" w:eastAsia="zh-CN"/>
        </w:rPr>
        <w:t>年产10万套轴承套圈</w:t>
      </w:r>
      <w:r>
        <w:rPr>
          <w:rFonts w:hint="default" w:ascii="Times New Roman" w:hAnsi="Times New Roman" w:eastAsia="宋体" w:cs="Times New Roman"/>
          <w:color w:val="auto"/>
          <w:sz w:val="28"/>
          <w:szCs w:val="28"/>
          <w:lang w:val="en-US" w:eastAsia="zh-CN"/>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firstLine="560" w:firstLineChars="200"/>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为新建。2017年5月东阿县天宇轴承配件有限公司委托聊城大学编制了《东阿县天宇轴承配件有限公司年产20万套轴承套圈项目环境影响报告表》，2017年6月5日东阿县环境保护局以东环报告表[2017]39号对其进行了审批，项目于2017年7月运行。2019年4月公司委托山东聊和环保科技有限公司进行该项目一期的环保验收监测工作，接受委托后山东聊和环保科技有限公司组织有关技术人员进行现场踏勘，依据监测技术规范制定了环保验收一期监测方案，并于2019年04月08日-10日对该企业进行了验收监测，根据验收监测结果和现场检查情况编制了本项目一期验收监测报告。</w:t>
      </w:r>
    </w:p>
    <w:p>
      <w:pPr>
        <w:tabs>
          <w:tab w:val="left" w:pos="360"/>
        </w:tabs>
        <w:spacing w:line="360" w:lineRule="auto"/>
        <w:ind w:left="298" w:leftChars="142" w:firstLine="560" w:firstLineChars="20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default" w:ascii="Times New Roman" w:hAnsi="Times New Roman" w:eastAsia="宋体"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default" w:ascii="Times New Roman" w:hAnsi="Times New Roman" w:eastAsia="宋体" w:cs="Times New Roman"/>
          <w:color w:val="auto"/>
          <w:sz w:val="28"/>
          <w:szCs w:val="28"/>
          <w:lang w:val="en-US" w:eastAsia="zh-CN"/>
        </w:rPr>
        <w:t>4</w:t>
      </w:r>
      <w:r>
        <w:rPr>
          <w:rFonts w:hint="eastAsia" w:cs="Times New Roman"/>
          <w:color w:val="auto"/>
          <w:sz w:val="28"/>
          <w:szCs w:val="28"/>
          <w:lang w:val="en-US" w:eastAsia="zh-CN"/>
        </w:rPr>
        <w:t>0</w:t>
      </w:r>
      <w:r>
        <w:rPr>
          <w:rFonts w:hint="default" w:ascii="Times New Roman" w:hAnsi="Times New Roman" w:eastAsia="宋体" w:cs="Times New Roman"/>
          <w:color w:val="auto"/>
          <w:sz w:val="28"/>
          <w:szCs w:val="28"/>
          <w:lang w:val="en-US" w:eastAsia="zh-CN"/>
        </w:rPr>
        <w:t>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3</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7</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360"/>
        </w:tabs>
        <w:spacing w:line="360" w:lineRule="auto"/>
        <w:ind w:left="298" w:leftChars="142"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10万套轴承套圈</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360"/>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firstLine="840" w:firstLineChars="300"/>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通过现场调查，</w:t>
      </w:r>
      <w:r>
        <w:rPr>
          <w:rFonts w:hint="default" w:ascii="Times New Roman" w:hAnsi="Times New Roman" w:eastAsia="宋体" w:cs="Times New Roman"/>
          <w:color w:val="auto"/>
          <w:sz w:val="28"/>
          <w:szCs w:val="28"/>
          <w:lang w:eastAsia="zh-CN"/>
        </w:rPr>
        <w:t>仪表车床比环评设计数量少二十一台，钻床比环评设计数量少一台，应分期验收，本次验收为一期。</w:t>
      </w:r>
    </w:p>
    <w:p>
      <w:pPr>
        <w:spacing w:line="360" w:lineRule="auto"/>
        <w:ind w:firstLine="840" w:firstLineChars="3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对照环评报告及审批意见，生产性质、生产规模、生产地点、生产工艺均无明显变动，</w:t>
      </w:r>
      <w:r>
        <w:rPr>
          <w:rFonts w:hint="default" w:ascii="Times New Roman" w:hAnsi="Times New Roman" w:eastAsia="宋体" w:cs="Times New Roman"/>
          <w:color w:val="auto"/>
          <w:sz w:val="28"/>
          <w:szCs w:val="28"/>
          <w:lang w:eastAsia="zh-CN"/>
        </w:rPr>
        <w:t>除分期验收外，</w:t>
      </w:r>
      <w:r>
        <w:rPr>
          <w:rFonts w:hint="default" w:ascii="Times New Roman" w:hAnsi="Times New Roman" w:eastAsia="宋体" w:cs="Times New Roman"/>
          <w:color w:val="auto"/>
          <w:sz w:val="28"/>
          <w:szCs w:val="28"/>
        </w:rPr>
        <w:t>本项目工程无重大变动。</w:t>
      </w:r>
    </w:p>
    <w:p>
      <w:pPr>
        <w:pStyle w:val="9"/>
        <w:numPr>
          <w:ilvl w:val="0"/>
          <w:numId w:val="1"/>
        </w:numPr>
        <w:spacing w:line="360" w:lineRule="auto"/>
        <w:ind w:firstLineChars="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widowControl/>
        <w:spacing w:line="360" w:lineRule="auto"/>
        <w:ind w:firstLine="420" w:firstLineChars="15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（一）废水污染源及其治理措施</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项目废水主要为职工生活废水</w:t>
      </w:r>
      <w:r>
        <w:rPr>
          <w:rFonts w:hint="eastAsia" w:cs="Times New Roman"/>
          <w:color w:val="auto"/>
          <w:kern w:val="2"/>
          <w:sz w:val="28"/>
          <w:szCs w:val="28"/>
          <w:lang w:val="en-US" w:eastAsia="zh-CN" w:bidi="ar-SA"/>
        </w:rPr>
        <w:t>，</w:t>
      </w:r>
      <w:r>
        <w:rPr>
          <w:rFonts w:hint="default" w:ascii="Times New Roman" w:hAnsi="Times New Roman" w:eastAsia="宋体" w:cs="Times New Roman"/>
          <w:color w:val="auto"/>
          <w:kern w:val="2"/>
          <w:sz w:val="28"/>
          <w:szCs w:val="28"/>
          <w:lang w:val="en-US" w:eastAsia="zh-CN" w:bidi="ar-SA"/>
        </w:rPr>
        <w:t>经厂内化粪池处理后用于厂内绿化洒水，不外排。</w:t>
      </w:r>
    </w:p>
    <w:p>
      <w:pPr>
        <w:widowControl/>
        <w:spacing w:line="360" w:lineRule="auto"/>
        <w:ind w:firstLine="420" w:firstLineChars="150"/>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widowControl/>
        <w:spacing w:line="360" w:lineRule="auto"/>
        <w:ind w:left="0" w:leftChars="0" w:firstLine="638" w:firstLineChars="228"/>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项目废气主要为金属颗粒物，密度大易沉降，经车间通风后无组织排放。</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firstLine="560" w:firstLineChars="200"/>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项目噪声主要为车床、钻床等机械设备运行时产生的噪声，通过选取低噪设备，经过基础减振、车间隔声、距离衰减等措施，降低对外环境的影响。 </w:t>
      </w:r>
    </w:p>
    <w:p>
      <w:pPr>
        <w:spacing w:line="360" w:lineRule="auto"/>
        <w:ind w:firstLine="420" w:firstLineChars="150"/>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项目产生的固体废物主要包括金属尘屑、次品、化粪池污泥及员工生活垃圾。金属尘屑、次品全部外售综合利用，化粪池污泥及员工生活垃圾由环卫部门集中收集后统一处理。</w:t>
      </w:r>
    </w:p>
    <w:p>
      <w:pPr>
        <w:pStyle w:val="9"/>
        <w:numPr>
          <w:ilvl w:val="0"/>
          <w:numId w:val="0"/>
        </w:numPr>
        <w:spacing w:line="360" w:lineRule="auto"/>
        <w:ind w:left="0" w:leftChars="0" w:firstLine="560" w:firstLineChars="200"/>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东阿县天宇轴承配件有限公司年产20万套轴承套圈项目</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firstLine="560" w:firstLineChars="200"/>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项目废水主要为职工生活废水</w:t>
      </w:r>
      <w:r>
        <w:rPr>
          <w:rFonts w:hint="eastAsia" w:cs="Times New Roman"/>
          <w:color w:val="auto"/>
          <w:sz w:val="28"/>
          <w:szCs w:val="28"/>
          <w:lang w:val="en-US" w:eastAsia="zh-CN"/>
        </w:rPr>
        <w:t>，</w:t>
      </w:r>
      <w:r>
        <w:rPr>
          <w:rFonts w:hint="default" w:ascii="Times New Roman" w:hAnsi="Times New Roman" w:eastAsia="宋体" w:cs="Times New Roman"/>
          <w:color w:val="auto"/>
          <w:sz w:val="28"/>
          <w:szCs w:val="28"/>
          <w:lang w:val="en-US" w:eastAsia="zh-CN"/>
        </w:rPr>
        <w:t>经厂内化粪池处理后用于厂内绿化洒水，不外排。</w:t>
      </w:r>
    </w:p>
    <w:p>
      <w:pPr>
        <w:numPr>
          <w:ilvl w:val="0"/>
          <w:numId w:val="3"/>
        </w:numPr>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firstLine="560"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验收监测期间，无组织颗粒物小时浓度最高为0.573mg/m</w:t>
      </w:r>
      <w:r>
        <w:rPr>
          <w:rFonts w:hint="default" w:ascii="Times New Roman" w:hAnsi="Times New Roman" w:eastAsia="宋体" w:cs="Times New Roman"/>
          <w:color w:val="auto"/>
          <w:sz w:val="28"/>
          <w:szCs w:val="28"/>
          <w:vertAlign w:val="superscript"/>
          <w:lang w:val="en-US" w:eastAsia="zh-CN"/>
        </w:rPr>
        <w:t>3</w:t>
      </w:r>
      <w:r>
        <w:rPr>
          <w:rFonts w:hint="default" w:ascii="Times New Roman" w:hAnsi="Times New Roman" w:eastAsia="宋体" w:cs="Times New Roman"/>
          <w:color w:val="auto"/>
          <w:sz w:val="28"/>
          <w:szCs w:val="28"/>
          <w:lang w:val="en-US" w:eastAsia="zh-CN"/>
        </w:rPr>
        <w:t>，满足《大气污染物综合排放标准》（GB16297-1996）表2中颗粒物无组织排放限值要求。</w:t>
      </w:r>
    </w:p>
    <w:p>
      <w:pPr>
        <w:numPr>
          <w:ilvl w:val="0"/>
          <w:numId w:val="0"/>
        </w:numPr>
        <w:spacing w:line="360" w:lineRule="auto"/>
        <w:ind w:left="0" w:leftChars="0" w:firstLine="638" w:firstLineChars="228"/>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numPr>
          <w:ilvl w:val="0"/>
          <w:numId w:val="0"/>
        </w:numPr>
        <w:spacing w:line="360" w:lineRule="auto"/>
        <w:ind w:left="0" w:leftChars="0" w:firstLine="638" w:firstLineChars="228"/>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zh-CN" w:eastAsia="zh-CN"/>
        </w:rPr>
        <w:t>验收监测期间，监测点位昼间噪声在48.8-56.4dB之间，符合《工业企业厂界环境噪声排放标准》（GB12348</w:t>
      </w:r>
      <w:r>
        <w:rPr>
          <w:rFonts w:hint="default" w:ascii="Times New Roman" w:hAnsi="Times New Roman" w:eastAsia="宋体" w:cs="Times New Roman"/>
          <w:color w:val="auto"/>
          <w:sz w:val="28"/>
          <w:szCs w:val="28"/>
          <w:lang w:val="en-US" w:eastAsia="zh-CN"/>
        </w:rPr>
        <w:t>-</w:t>
      </w:r>
      <w:r>
        <w:rPr>
          <w:rFonts w:hint="default" w:ascii="Times New Roman" w:hAnsi="Times New Roman" w:eastAsia="宋体" w:cs="Times New Roman"/>
          <w:color w:val="auto"/>
          <w:sz w:val="28"/>
          <w:szCs w:val="28"/>
          <w:lang w:val="zh-CN" w:eastAsia="zh-CN"/>
        </w:rPr>
        <w:t>2008）中的2类标准限值</w:t>
      </w:r>
      <w:r>
        <w:rPr>
          <w:rFonts w:hint="default" w:ascii="Times New Roman" w:hAnsi="Times New Roman" w:eastAsia="宋体" w:cs="Times New Roman"/>
          <w:color w:val="auto"/>
          <w:sz w:val="28"/>
          <w:szCs w:val="28"/>
          <w:lang w:eastAsia="zh-CN"/>
        </w:rPr>
        <w:t>。</w:t>
      </w:r>
    </w:p>
    <w:p>
      <w:pPr>
        <w:numPr>
          <w:ilvl w:val="0"/>
          <w:numId w:val="4"/>
        </w:numPr>
        <w:spacing w:line="36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240" w:lineRule="auto"/>
        <w:ind w:firstLine="560" w:firstLineChars="200"/>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zh-CN" w:eastAsia="zh-CN"/>
        </w:rPr>
        <w:t>项目产生的固体废物主要包括金属尘屑、次品、化粪池污泥及员工生活垃圾。金属尘屑、次品全部外售综合利用，化粪池污泥及员工生活垃圾由环卫部门集中收集后统一处理</w:t>
      </w:r>
      <w:r>
        <w:rPr>
          <w:rFonts w:hint="default" w:ascii="Times New Roman" w:hAnsi="Times New Roman" w:eastAsia="宋体" w:cs="Times New Roman"/>
          <w:color w:val="auto"/>
          <w:sz w:val="28"/>
          <w:szCs w:val="28"/>
        </w:rPr>
        <w:t>。</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0" w:leftChars="0" w:firstLine="420" w:firstLineChars="150"/>
        <w:rPr>
          <w:rFonts w:hint="default" w:ascii="Times New Roman" w:hAnsi="Times New Roman" w:eastAsia="宋体" w:cs="Times New Roman"/>
          <w:color w:val="auto"/>
          <w:sz w:val="28"/>
          <w:szCs w:val="28"/>
        </w:rPr>
      </w:pPr>
      <w:bookmarkStart w:id="0" w:name="_GoBack"/>
      <w:bookmarkEnd w:id="0"/>
      <w:r>
        <w:rPr>
          <w:rFonts w:hint="eastAsia" w:cs="Times New Roman"/>
          <w:color w:val="auto"/>
          <w:sz w:val="28"/>
          <w:szCs w:val="36"/>
          <w:lang w:eastAsia="zh-CN"/>
        </w:rPr>
        <w:t>东阿县天宇轴承配件有限公司</w:t>
      </w:r>
      <w:r>
        <w:rPr>
          <w:rFonts w:hint="default" w:ascii="Times New Roman" w:hAnsi="Times New Roman" w:eastAsia="宋体" w:cs="Times New Roman"/>
          <w:color w:val="auto"/>
          <w:sz w:val="28"/>
          <w:szCs w:val="28"/>
        </w:rPr>
        <w:t>制定了《</w:t>
      </w:r>
      <w:r>
        <w:rPr>
          <w:rFonts w:hint="eastAsia" w:cs="Times New Roman"/>
          <w:color w:val="auto"/>
          <w:sz w:val="28"/>
          <w:szCs w:val="36"/>
          <w:lang w:eastAsia="zh-CN"/>
        </w:rPr>
        <w:t>东阿县天宇轴承配件有限公司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default"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0" w:leftChars="0"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ind w:left="560" w:leftChars="0" w:firstLine="0" w:firstLineChars="0"/>
        <w:rPr>
          <w:rFonts w:hint="default" w:ascii="Times New Roman" w:hAnsi="Times New Roman" w:eastAsia="宋体"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及时清理设备润滑油，防止滴漏</w:t>
      </w:r>
      <w:r>
        <w:rPr>
          <w:rFonts w:hint="default" w:ascii="Times New Roman" w:hAnsi="Times New Roman" w:eastAsia="宋体" w:cs="Times New Roman"/>
          <w:color w:val="auto"/>
          <w:sz w:val="28"/>
          <w:szCs w:val="28"/>
          <w:highlight w:val="none"/>
          <w:lang w:val="en-US" w:eastAsia="zh-CN"/>
        </w:rPr>
        <w:t>；</w:t>
      </w:r>
    </w:p>
    <w:p>
      <w:pPr>
        <w:pStyle w:val="5"/>
        <w:numPr>
          <w:ilvl w:val="0"/>
          <w:numId w:val="5"/>
        </w:numPr>
        <w:ind w:left="560" w:leftChars="0" w:firstLine="0" w:firstLineChars="0"/>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注意清洁生产，保持厂区卫生</w:t>
      </w:r>
      <w:r>
        <w:rPr>
          <w:rFonts w:hint="default" w:ascii="Times New Roman" w:hAnsi="Times New Roman" w:eastAsia="宋体" w:cs="Times New Roman"/>
          <w:color w:val="auto"/>
          <w:sz w:val="28"/>
          <w:szCs w:val="28"/>
          <w:lang w:val="en-US" w:eastAsia="zh-CN"/>
        </w:rPr>
        <w:t>。</w:t>
      </w:r>
    </w:p>
    <w:p>
      <w:pPr>
        <w:spacing w:line="360" w:lineRule="auto"/>
        <w:ind w:firstLine="420" w:firstLineChars="15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firstLine="555"/>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鉴于项目符合国家和地方相关产业标准及准入要求，用地符合当地规划，环保设施与生产配套，验收期间各项监测指标满足国家相关排放标准，该项目通过环保验收。               </w:t>
      </w:r>
    </w:p>
    <w:p>
      <w:pPr>
        <w:pStyle w:val="2"/>
        <w:rPr>
          <w:rFonts w:hint="default" w:ascii="Times New Roman" w:hAnsi="Times New Roman" w:eastAsia="宋体" w:cs="Times New Roman"/>
          <w:color w:val="auto"/>
          <w:sz w:val="28"/>
          <w:szCs w:val="28"/>
        </w:rPr>
      </w:pPr>
    </w:p>
    <w:p>
      <w:pPr>
        <w:spacing w:line="360" w:lineRule="auto"/>
        <w:jc w:val="right"/>
        <w:rPr>
          <w:rFonts w:hint="default" w:ascii="Times New Roman" w:hAnsi="Times New Roman" w:eastAsia="宋体" w:cs="Times New Roman"/>
          <w:color w:val="auto"/>
          <w:sz w:val="28"/>
          <w:szCs w:val="28"/>
        </w:rPr>
      </w:pPr>
      <w:r>
        <w:rPr>
          <w:rFonts w:hint="eastAsia" w:cs="Times New Roman"/>
          <w:color w:val="auto"/>
          <w:sz w:val="28"/>
          <w:szCs w:val="36"/>
          <w:lang w:eastAsia="zh-CN"/>
        </w:rPr>
        <w:t>东阿县天宇轴承配件有限公司</w:t>
      </w:r>
      <w:r>
        <w:rPr>
          <w:rFonts w:hint="default" w:ascii="Times New Roman" w:hAnsi="Times New Roman" w:eastAsia="宋体" w:cs="Times New Roman"/>
          <w:color w:val="auto"/>
          <w:sz w:val="28"/>
          <w:szCs w:val="28"/>
        </w:rPr>
        <w:t>验收组</w:t>
      </w:r>
    </w:p>
    <w:p>
      <w:pPr>
        <w:spacing w:line="360" w:lineRule="auto"/>
        <w:jc w:val="right"/>
        <w:rPr>
          <w:rFonts w:hint="default" w:ascii="Times New Roman" w:hAnsi="Times New Roman" w:eastAsia="宋体" w:cs="Times New Roman"/>
          <w:color w:val="auto"/>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4</w:t>
      </w:r>
      <w:r>
        <w:rPr>
          <w:rFonts w:hint="default" w:ascii="Times New Roman" w:hAnsi="Times New Roman" w:eastAsia="宋体" w:cs="Times New Roman"/>
          <w:color w:val="auto"/>
          <w:sz w:val="28"/>
          <w:szCs w:val="28"/>
          <w:highlight w:val="none"/>
        </w:rPr>
        <w:t>月</w:t>
      </w:r>
      <w:r>
        <w:rPr>
          <w:rFonts w:hint="eastAsia" w:cs="Times New Roman"/>
          <w:color w:val="auto"/>
          <w:sz w:val="28"/>
          <w:szCs w:val="28"/>
          <w:highlight w:val="none"/>
          <w:lang w:val="en-US" w:eastAsia="zh-CN"/>
        </w:rPr>
        <w:t>22</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76E6C77"/>
    <w:rsid w:val="092A2043"/>
    <w:rsid w:val="09355554"/>
    <w:rsid w:val="0A775B6C"/>
    <w:rsid w:val="0BB105F9"/>
    <w:rsid w:val="0BCD78E3"/>
    <w:rsid w:val="0BD4352F"/>
    <w:rsid w:val="0DE72844"/>
    <w:rsid w:val="110D6D4E"/>
    <w:rsid w:val="12BA0E04"/>
    <w:rsid w:val="13242E95"/>
    <w:rsid w:val="185D26F5"/>
    <w:rsid w:val="18D05E89"/>
    <w:rsid w:val="19990D6D"/>
    <w:rsid w:val="19BD6A9B"/>
    <w:rsid w:val="1A167364"/>
    <w:rsid w:val="1AAF6CA7"/>
    <w:rsid w:val="1B753DC5"/>
    <w:rsid w:val="1BED7819"/>
    <w:rsid w:val="1C2F06B4"/>
    <w:rsid w:val="1EA01955"/>
    <w:rsid w:val="21E62141"/>
    <w:rsid w:val="27420539"/>
    <w:rsid w:val="284C33EF"/>
    <w:rsid w:val="286B6E9D"/>
    <w:rsid w:val="2BFB35B9"/>
    <w:rsid w:val="2D054DFA"/>
    <w:rsid w:val="2F0E73A5"/>
    <w:rsid w:val="3057540F"/>
    <w:rsid w:val="31572BC2"/>
    <w:rsid w:val="36BE44EF"/>
    <w:rsid w:val="39C76E2F"/>
    <w:rsid w:val="3B2962D5"/>
    <w:rsid w:val="3C614E95"/>
    <w:rsid w:val="3D481CA9"/>
    <w:rsid w:val="425A3055"/>
    <w:rsid w:val="42D02360"/>
    <w:rsid w:val="440B2C50"/>
    <w:rsid w:val="45B12AB5"/>
    <w:rsid w:val="4F9632A6"/>
    <w:rsid w:val="502A1EDA"/>
    <w:rsid w:val="50805A3A"/>
    <w:rsid w:val="51603323"/>
    <w:rsid w:val="52082039"/>
    <w:rsid w:val="520B1012"/>
    <w:rsid w:val="523709EA"/>
    <w:rsid w:val="56DD1623"/>
    <w:rsid w:val="56E92A9E"/>
    <w:rsid w:val="57F30E9E"/>
    <w:rsid w:val="5818757E"/>
    <w:rsid w:val="5B994AD0"/>
    <w:rsid w:val="5EBF4603"/>
    <w:rsid w:val="5F0C4CFF"/>
    <w:rsid w:val="5FD03A30"/>
    <w:rsid w:val="5FEF2ADB"/>
    <w:rsid w:val="65826A80"/>
    <w:rsid w:val="66FB5067"/>
    <w:rsid w:val="681F71C6"/>
    <w:rsid w:val="6A4209DB"/>
    <w:rsid w:val="6ABA50EB"/>
    <w:rsid w:val="6C066CE6"/>
    <w:rsid w:val="6CE67177"/>
    <w:rsid w:val="6DEB0CC4"/>
    <w:rsid w:val="6E620EC2"/>
    <w:rsid w:val="72CC4D2D"/>
    <w:rsid w:val="775F7227"/>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2019-04-24T02:14:19Z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