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color w:val="auto"/>
          <w:sz w:val="30"/>
          <w:szCs w:val="30"/>
        </w:rPr>
      </w:pPr>
      <w:r>
        <w:rPr>
          <w:rFonts w:hint="default" w:ascii="Times New Roman" w:hAnsi="Times New Roman" w:eastAsia="宋体" w:cs="Times New Roman"/>
          <w:b/>
          <w:color w:val="auto"/>
          <w:sz w:val="28"/>
          <w:szCs w:val="28"/>
          <w:lang w:val="en-US" w:eastAsia="zh-CN"/>
        </w:rPr>
        <w:t>山东瑞坤装配式建筑科技有限公司装配式建筑部品部件生产基地项目（一期）竣工</w:t>
      </w:r>
      <w:r>
        <w:rPr>
          <w:rFonts w:hint="default" w:ascii="Times New Roman" w:hAnsi="Times New Roman" w:eastAsia="宋体"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19</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lang w:val="en-US" w:eastAsia="zh-CN"/>
        </w:rPr>
        <w:t>山东瑞坤装配式建筑科技有限公司</w:t>
      </w:r>
      <w:r>
        <w:rPr>
          <w:rFonts w:hint="default" w:ascii="Times New Roman" w:hAnsi="Times New Roman" w:eastAsia="宋体" w:cs="Times New Roman"/>
          <w:color w:val="auto"/>
          <w:sz w:val="28"/>
          <w:szCs w:val="28"/>
          <w:highlight w:val="none"/>
        </w:rPr>
        <w:t>组织召开</w:t>
      </w:r>
      <w:r>
        <w:rPr>
          <w:rFonts w:hint="default" w:ascii="Times New Roman" w:hAnsi="Times New Roman" w:eastAsia="宋体" w:cs="Times New Roman"/>
          <w:color w:val="auto"/>
          <w:sz w:val="28"/>
          <w:szCs w:val="28"/>
          <w:highlight w:val="none"/>
          <w:lang w:val="en-US" w:eastAsia="zh-CN"/>
        </w:rPr>
        <w:t>装配式建筑部品部件生产基地项目（一期）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default" w:ascii="Times New Roman" w:hAnsi="Times New Roman" w:eastAsia="宋体" w:cs="Times New Roman"/>
          <w:color w:val="auto"/>
          <w:sz w:val="28"/>
          <w:szCs w:val="28"/>
          <w:lang w:val="en-US" w:eastAsia="zh-CN"/>
        </w:rPr>
        <w:t>山东瑞坤装配式建筑科技有限公司</w:t>
      </w:r>
      <w:r>
        <w:rPr>
          <w:rFonts w:hint="default" w:ascii="Times New Roman" w:hAnsi="Times New Roman" w:eastAsia="宋体" w:cs="Times New Roman"/>
          <w:color w:val="auto"/>
          <w:sz w:val="28"/>
          <w:szCs w:val="28"/>
        </w:rPr>
        <w:t>）、环评单位（</w:t>
      </w:r>
      <w:r>
        <w:rPr>
          <w:rFonts w:hint="default" w:ascii="Times New Roman" w:hAnsi="Times New Roman" w:eastAsia="宋体" w:cs="Times New Roman"/>
          <w:color w:val="auto"/>
          <w:sz w:val="28"/>
          <w:szCs w:val="28"/>
          <w:lang w:val="en-US" w:eastAsia="zh-CN"/>
        </w:rPr>
        <w:t>山东格林泰克环保技术服务有限公司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18" w:leftChars="104" w:firstLine="618" w:firstLineChars="221"/>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山东瑞坤装配式建筑科技有限公司成立于2017年</w:t>
      </w:r>
      <w:r>
        <w:rPr>
          <w:rFonts w:hint="default" w:ascii="Times New Roman" w:hAnsi="Times New Roman" w:eastAsia="宋体" w:cs="Times New Roman"/>
          <w:color w:val="auto"/>
          <w:sz w:val="28"/>
          <w:szCs w:val="28"/>
          <w:lang w:val="en-US" w:eastAsia="zh-CN"/>
        </w:rPr>
        <w:t>7</w:t>
      </w:r>
      <w:r>
        <w:rPr>
          <w:rFonts w:hint="default" w:ascii="Times New Roman" w:hAnsi="Times New Roman" w:eastAsia="宋体" w:cs="Times New Roman"/>
          <w:color w:val="auto"/>
          <w:sz w:val="28"/>
          <w:szCs w:val="28"/>
          <w:lang w:eastAsia="zh-CN"/>
        </w:rPr>
        <w:t>月，</w:t>
      </w:r>
      <w:r>
        <w:rPr>
          <w:rFonts w:hint="default" w:ascii="Times New Roman" w:hAnsi="Times New Roman" w:eastAsia="宋体" w:cs="Times New Roman"/>
          <w:color w:val="auto"/>
          <w:sz w:val="28"/>
          <w:szCs w:val="28"/>
        </w:rPr>
        <w:t>法定代表人</w:t>
      </w:r>
      <w:r>
        <w:rPr>
          <w:rFonts w:hint="default" w:ascii="Times New Roman" w:hAnsi="Times New Roman" w:eastAsia="宋体" w:cs="Times New Roman"/>
          <w:color w:val="auto"/>
          <w:sz w:val="28"/>
          <w:szCs w:val="28"/>
          <w:lang w:eastAsia="zh-CN"/>
        </w:rPr>
        <w:t>翁广龙</w:t>
      </w:r>
      <w:r>
        <w:rPr>
          <w:rFonts w:hint="default" w:ascii="Times New Roman" w:hAnsi="Times New Roman" w:eastAsia="宋体" w:cs="Times New Roman"/>
          <w:color w:val="auto"/>
          <w:sz w:val="28"/>
          <w:szCs w:val="28"/>
        </w:rPr>
        <w:t>，</w:t>
      </w:r>
      <w:r>
        <w:rPr>
          <w:rFonts w:hint="default" w:ascii="Times New Roman" w:hAnsi="Times New Roman" w:eastAsia="宋体" w:cs="Times New Roman"/>
          <w:color w:val="auto"/>
          <w:sz w:val="28"/>
          <w:szCs w:val="28"/>
          <w:lang w:eastAsia="zh-CN"/>
        </w:rPr>
        <w:t>公司位于聊城市凤凰工业园纬二路南、中华路西、纬三路北、孙堂干渠东，建设</w:t>
      </w:r>
      <w:r>
        <w:rPr>
          <w:rFonts w:hint="default" w:ascii="Times New Roman" w:hAnsi="Times New Roman" w:eastAsia="宋体" w:cs="Times New Roman"/>
          <w:color w:val="auto"/>
          <w:sz w:val="28"/>
          <w:szCs w:val="28"/>
          <w:lang w:val="en-US" w:eastAsia="zh-CN"/>
        </w:rPr>
        <w:t>装配式建筑部品部件生产基地项目。本项目分两期建设，本次验收项目为一期，占地100000m</w:t>
      </w:r>
      <w:r>
        <w:rPr>
          <w:rFonts w:hint="default" w:ascii="Times New Roman" w:hAnsi="Times New Roman" w:eastAsia="宋体" w:cs="Times New Roman"/>
          <w:color w:val="auto"/>
          <w:sz w:val="28"/>
          <w:szCs w:val="28"/>
          <w:vertAlign w:val="superscript"/>
          <w:lang w:val="en-US" w:eastAsia="zh-CN"/>
        </w:rPr>
        <w:t>2</w:t>
      </w:r>
      <w:r>
        <w:rPr>
          <w:rFonts w:hint="eastAsia"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kern w:val="0"/>
          <w:sz w:val="28"/>
          <w:szCs w:val="28"/>
          <w:lang w:eastAsia="zh-CN" w:bidi="ar"/>
        </w:rPr>
        <w:t>总投资</w:t>
      </w:r>
      <w:r>
        <w:rPr>
          <w:rFonts w:hint="default" w:ascii="Times New Roman" w:hAnsi="Times New Roman" w:eastAsia="宋体" w:cs="Times New Roman"/>
          <w:color w:val="auto"/>
          <w:kern w:val="0"/>
          <w:sz w:val="28"/>
          <w:szCs w:val="28"/>
          <w:lang w:val="en-US" w:eastAsia="zh-CN" w:bidi="ar"/>
        </w:rPr>
        <w:t>30000万元，</w:t>
      </w:r>
      <w:r>
        <w:rPr>
          <w:rFonts w:hint="default" w:ascii="Times New Roman" w:hAnsi="Times New Roman" w:eastAsia="宋体" w:cs="Times New Roman"/>
          <w:bCs/>
          <w:color w:val="auto"/>
          <w:sz w:val="28"/>
          <w:szCs w:val="28"/>
          <w:vertAlign w:val="baseline"/>
          <w:lang w:eastAsia="zh-CN"/>
        </w:rPr>
        <w:t>年产</w:t>
      </w:r>
      <w:r>
        <w:rPr>
          <w:rFonts w:hint="default" w:ascii="Times New Roman" w:hAnsi="Times New Roman" w:eastAsia="宋体" w:cs="Times New Roman"/>
          <w:bCs/>
          <w:color w:val="auto"/>
          <w:sz w:val="28"/>
          <w:szCs w:val="28"/>
          <w:vertAlign w:val="baseline"/>
          <w:lang w:val="en-US" w:eastAsia="zh-CN"/>
        </w:rPr>
        <w:t>11万m</w:t>
      </w:r>
      <w:r>
        <w:rPr>
          <w:rFonts w:hint="default" w:ascii="Times New Roman" w:hAnsi="Times New Roman" w:eastAsia="宋体" w:cs="Times New Roman"/>
          <w:bCs/>
          <w:color w:val="auto"/>
          <w:sz w:val="28"/>
          <w:szCs w:val="28"/>
          <w:vertAlign w:val="superscript"/>
          <w:lang w:val="en-US" w:eastAsia="zh-CN"/>
        </w:rPr>
        <w:t>3</w:t>
      </w:r>
      <w:r>
        <w:rPr>
          <w:rFonts w:hint="default" w:ascii="Times New Roman" w:hAnsi="Times New Roman" w:eastAsia="宋体" w:cs="Times New Roman"/>
          <w:bCs/>
          <w:color w:val="auto"/>
          <w:sz w:val="28"/>
          <w:szCs w:val="28"/>
          <w:vertAlign w:val="baseline"/>
          <w:lang w:val="en-US" w:eastAsia="zh-CN"/>
        </w:rPr>
        <w:t>建筑装配式构件</w:t>
      </w:r>
      <w:r>
        <w:rPr>
          <w:rFonts w:hint="default" w:ascii="Times New Roman" w:hAnsi="Times New Roman" w:eastAsia="宋体" w:cs="Times New Roman"/>
          <w:color w:val="auto"/>
          <w:sz w:val="28"/>
          <w:szCs w:val="28"/>
          <w:lang w:eastAsia="zh-CN"/>
        </w:rPr>
        <w:t>。</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18" w:leftChars="104" w:firstLine="618" w:firstLineChars="221"/>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本项目于2017年9月在聊城市环境保护局东昌府分局办理了环评《聊东环审【2017】471号》，由于项目生产工艺发生了重大变化，山东瑞坤装配式建筑科技有限公司申请重新报批本项目的环境影响评价文件。</w:t>
      </w:r>
    </w:p>
    <w:p>
      <w:pPr>
        <w:spacing w:line="360" w:lineRule="auto"/>
        <w:ind w:left="0" w:leftChars="0" w:firstLine="840" w:firstLineChars="300"/>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本项目为新建项目。</w:t>
      </w:r>
      <w:r>
        <w:rPr>
          <w:rFonts w:hint="default" w:ascii="Times New Roman" w:hAnsi="Times New Roman" w:eastAsia="宋体" w:cs="Times New Roman"/>
          <w:color w:val="auto"/>
          <w:kern w:val="2"/>
          <w:sz w:val="28"/>
          <w:szCs w:val="28"/>
          <w:lang w:val="en-US" w:eastAsia="zh-CN" w:bidi="ar-SA"/>
        </w:rPr>
        <w:t>2018年4月山东瑞坤装配式建筑科技有限公司委托山东格林泰克环保技术服务有限公司编制了《山东瑞坤装配式建筑科技有限公司装配式建筑部品部件生产基地项目环境影响报告表》，2018年6月5日聊城市环境保护局东昌府分局以聊东环审[2018]145号对其进行了审批。2018年10月公司委托山东聊和环保科技有限公司进行该项目的环保验收监测工作，接受委托后山东聊和环保科技有限公司组织有关技术人员进行现场踏勘，依据监测技术规范制定了环保验收监测方案，并于2018年11月3日-4日对厂区有关污染源进行了监测，根据验收监测结果和现场检查情况编制了本项目验收监测报告。</w:t>
      </w:r>
    </w:p>
    <w:p>
      <w:pPr>
        <w:tabs>
          <w:tab w:val="left" w:pos="360"/>
        </w:tabs>
        <w:spacing w:line="360" w:lineRule="auto"/>
        <w:ind w:left="17" w:leftChars="8" w:firstLine="400" w:firstLineChars="143"/>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360"/>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default" w:ascii="Times New Roman" w:hAnsi="Times New Roman" w:eastAsia="宋体"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default" w:ascii="Times New Roman" w:hAnsi="Times New Roman" w:eastAsia="宋体" w:cs="Times New Roman"/>
          <w:color w:val="auto"/>
          <w:sz w:val="28"/>
          <w:szCs w:val="28"/>
          <w:lang w:val="en-US" w:eastAsia="zh-CN"/>
        </w:rPr>
        <w:t>30000万</w:t>
      </w:r>
      <w:r>
        <w:rPr>
          <w:rFonts w:hint="default" w:ascii="Times New Roman" w:hAnsi="Times New Roman" w:eastAsia="宋体" w:cs="Times New Roman"/>
          <w:color w:val="auto"/>
          <w:sz w:val="28"/>
          <w:szCs w:val="28"/>
        </w:rPr>
        <w:t>元，其中环保投资</w:t>
      </w:r>
      <w:r>
        <w:rPr>
          <w:rFonts w:hint="default" w:ascii="Times New Roman" w:hAnsi="Times New Roman" w:eastAsia="宋体" w:cs="Times New Roman"/>
          <w:color w:val="auto"/>
          <w:sz w:val="28"/>
          <w:szCs w:val="28"/>
          <w:lang w:val="en-US" w:eastAsia="zh-CN"/>
        </w:rPr>
        <w:t>50</w:t>
      </w:r>
      <w:r>
        <w:rPr>
          <w:rFonts w:hint="default" w:ascii="Times New Roman" w:hAnsi="Times New Roman" w:eastAsia="宋体" w:cs="Times New Roman"/>
          <w:color w:val="auto"/>
          <w:sz w:val="28"/>
          <w:szCs w:val="28"/>
        </w:rPr>
        <w:t>万元。占总投资</w:t>
      </w:r>
      <w:r>
        <w:rPr>
          <w:rFonts w:hint="default" w:ascii="Times New Roman" w:hAnsi="Times New Roman" w:eastAsia="宋体" w:cs="Times New Roman"/>
          <w:color w:val="auto"/>
          <w:sz w:val="28"/>
          <w:szCs w:val="28"/>
          <w:lang w:val="en-US" w:eastAsia="zh-CN"/>
        </w:rPr>
        <w:t>0.2</w:t>
      </w:r>
      <w:r>
        <w:rPr>
          <w:rFonts w:hint="default" w:ascii="Times New Roman" w:hAnsi="Times New Roman" w:eastAsia="宋体" w:cs="Times New Roman"/>
          <w:color w:val="auto"/>
          <w:sz w:val="28"/>
          <w:szCs w:val="28"/>
        </w:rPr>
        <w:t>％。</w:t>
      </w:r>
    </w:p>
    <w:p>
      <w:pPr>
        <w:tabs>
          <w:tab w:val="left" w:pos="360"/>
        </w:tabs>
        <w:spacing w:line="360" w:lineRule="auto"/>
        <w:ind w:left="17" w:leftChars="8" w:firstLine="400" w:firstLineChars="143"/>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360"/>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eastAsia="宋体" w:cs="Times New Roman"/>
          <w:color w:val="auto"/>
          <w:sz w:val="28"/>
          <w:szCs w:val="28"/>
          <w:lang w:val="en-US" w:eastAsia="zh-CN"/>
        </w:rPr>
        <w:t>11万m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建筑装配式构件生产设备</w:t>
      </w:r>
      <w:r>
        <w:rPr>
          <w:rFonts w:hint="default" w:ascii="Times New Roman" w:hAnsi="Times New Roman" w:eastAsia="宋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通过现场调查，对照环评报告及审批意见，生产性质、生产地点、生产规模、生产工艺及环保设施均无明显变动，故本项目工程无重大变动</w:t>
      </w:r>
      <w:r>
        <w:rPr>
          <w:rFonts w:hint="default" w:ascii="Times New Roman" w:hAnsi="Times New Roman" w:eastAsia="宋体" w:cs="Times New Roman"/>
          <w:color w:val="auto"/>
          <w:sz w:val="28"/>
          <w:szCs w:val="28"/>
        </w:rPr>
        <w:t>。</w:t>
      </w:r>
    </w:p>
    <w:p>
      <w:pPr>
        <w:widowControl/>
        <w:spacing w:line="360" w:lineRule="auto"/>
        <w:ind w:firstLine="560" w:firstLineChars="200"/>
        <w:jc w:val="left"/>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三、</w:t>
      </w:r>
      <w:r>
        <w:rPr>
          <w:rFonts w:hint="default" w:ascii="Times New Roman" w:hAnsi="Times New Roman" w:eastAsia="宋体" w:cs="Times New Roman"/>
          <w:color w:val="auto"/>
          <w:kern w:val="2"/>
          <w:sz w:val="28"/>
          <w:szCs w:val="28"/>
          <w:lang w:val="en-US" w:eastAsia="zh-CN" w:bidi="ar-SA"/>
        </w:rPr>
        <w:t>环境保护设施落实情况</w:t>
      </w:r>
    </w:p>
    <w:p>
      <w:pPr>
        <w:widowControl/>
        <w:spacing w:line="360" w:lineRule="auto"/>
        <w:ind w:left="559" w:leftChars="266" w:firstLine="0" w:firstLineChars="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widowControl/>
        <w:spacing w:line="360" w:lineRule="auto"/>
        <w:ind w:left="559" w:leftChars="266" w:firstLine="0" w:firstLineChars="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项目生产用水循环使用，不外排；生活污水排入化粪池，经收集后清掏外运。（二）废气污染源及其治理措施</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天然气锅炉燃烧废气经低氮燃烧器处理后经15米高排气筒有组织排放；食堂油烟经油烟净化器处理后经15米高排气筒有组织排放；生产过程产生的颗粒物，采取车间密闭、洒水降尘等措施，经水喷淋、雾炮等设施处理后无组织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项目噪声源主要为各类加工设备运行产生的噪声。通过采取加强绿化，合理布置设备，车间隔声及距离衰减等措施，可以有效地降低设备噪声对周围环境的影响。 </w:t>
      </w:r>
    </w:p>
    <w:p>
      <w:pPr>
        <w:spacing w:line="360" w:lineRule="auto"/>
        <w:ind w:firstLine="420" w:firstLineChars="150"/>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废钢筋回收后出售；污水中沉渣经砂石分离机分离后回用于生产；生活垃圾由环卫部门定期清运。</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default" w:ascii="Times New Roman" w:hAnsi="Times New Roman" w:eastAsia="宋体" w:cs="Times New Roman"/>
          <w:b w:val="0"/>
          <w:bCs w:val="0"/>
          <w:color w:val="auto"/>
          <w:sz w:val="28"/>
          <w:szCs w:val="28"/>
          <w:lang w:val="en-US" w:eastAsia="zh-CN"/>
        </w:rPr>
        <w:t>山东瑞坤装配式建筑科技有限公司装配式建筑部品部件生产基地项目（一期）</w:t>
      </w:r>
      <w:r>
        <w:rPr>
          <w:rFonts w:hint="default" w:ascii="Times New Roman" w:hAnsi="Times New Roman" w:eastAsia="宋体" w:cs="Times New Roman"/>
          <w:color w:val="auto"/>
          <w:sz w:val="28"/>
          <w:szCs w:val="28"/>
        </w:rPr>
        <w:t>竣工环境保护验收监测报告》监测结果表明：</w:t>
      </w:r>
    </w:p>
    <w:p>
      <w:pPr>
        <w:numPr>
          <w:ilvl w:val="0"/>
          <w:numId w:val="1"/>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ind w:firstLine="560" w:firstLineChars="200"/>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项目生产用水循环使用，不外排；生活污水经化粪池收集后清掏外运。</w:t>
      </w:r>
    </w:p>
    <w:p>
      <w:pPr>
        <w:numPr>
          <w:ilvl w:val="0"/>
          <w:numId w:val="2"/>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pStyle w:val="2"/>
        <w:spacing w:line="360" w:lineRule="auto"/>
        <w:jc w:val="both"/>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验收监测期间，有组织SO</w:t>
      </w:r>
      <w:r>
        <w:rPr>
          <w:rFonts w:hint="default" w:ascii="Times New Roman" w:hAnsi="Times New Roman" w:eastAsia="宋体" w:cs="Times New Roman"/>
          <w:color w:val="000000"/>
          <w:kern w:val="2"/>
          <w:sz w:val="28"/>
          <w:szCs w:val="28"/>
          <w:vertAlign w:val="subscript"/>
          <w:lang w:val="en-US" w:eastAsia="zh-CN" w:bidi="ar-SA"/>
        </w:rPr>
        <w:t>2</w:t>
      </w:r>
      <w:r>
        <w:rPr>
          <w:rFonts w:hint="default" w:ascii="Times New Roman" w:hAnsi="Times New Roman" w:eastAsia="宋体" w:cs="Times New Roman"/>
          <w:color w:val="000000"/>
          <w:kern w:val="2"/>
          <w:sz w:val="28"/>
          <w:szCs w:val="28"/>
          <w:vertAlign w:val="baseline"/>
          <w:lang w:val="en-US" w:eastAsia="zh-CN" w:bidi="ar-SA"/>
        </w:rPr>
        <w:t>、</w:t>
      </w:r>
      <w:r>
        <w:rPr>
          <w:rFonts w:hint="default" w:ascii="Times New Roman" w:hAnsi="Times New Roman" w:eastAsia="宋体" w:cs="Times New Roman"/>
          <w:sz w:val="28"/>
          <w:szCs w:val="28"/>
          <w:vertAlign w:val="baseline"/>
          <w:lang w:val="en-US" w:eastAsia="zh-CN"/>
        </w:rPr>
        <w:t>NO</w:t>
      </w:r>
      <w:r>
        <w:rPr>
          <w:rFonts w:hint="default" w:ascii="Times New Roman" w:hAnsi="Times New Roman" w:eastAsia="宋体" w:cs="Times New Roman"/>
          <w:sz w:val="28"/>
          <w:szCs w:val="28"/>
          <w:vertAlign w:val="subscript"/>
          <w:lang w:val="en-US" w:eastAsia="zh-CN"/>
        </w:rPr>
        <w:t>x</w:t>
      </w:r>
      <w:r>
        <w:rPr>
          <w:rFonts w:hint="default" w:ascii="Times New Roman" w:hAnsi="Times New Roman" w:eastAsia="宋体" w:cs="Times New Roman"/>
          <w:sz w:val="28"/>
          <w:szCs w:val="28"/>
          <w:vertAlign w:val="baseline"/>
          <w:lang w:val="en-US" w:eastAsia="zh-CN"/>
        </w:rPr>
        <w:t>、</w:t>
      </w:r>
      <w:r>
        <w:rPr>
          <w:rFonts w:hint="default" w:ascii="Times New Roman" w:hAnsi="Times New Roman" w:eastAsia="宋体" w:cs="Times New Roman"/>
          <w:sz w:val="28"/>
          <w:szCs w:val="28"/>
          <w:lang w:val="en-US" w:eastAsia="zh-CN"/>
        </w:rPr>
        <w:t>颗粒物</w:t>
      </w:r>
      <w:r>
        <w:rPr>
          <w:rFonts w:hint="default" w:ascii="Times New Roman" w:hAnsi="Times New Roman" w:eastAsia="宋体" w:cs="Times New Roman"/>
          <w:color w:val="000000"/>
          <w:kern w:val="2"/>
          <w:sz w:val="28"/>
          <w:szCs w:val="28"/>
          <w:lang w:val="en-US" w:eastAsia="zh-CN" w:bidi="ar-SA"/>
        </w:rPr>
        <w:t>最大排放浓度及最大排放速率分别为5mg</w:t>
      </w:r>
      <w:r>
        <w:rPr>
          <w:rFonts w:hint="default" w:ascii="Times New Roman" w:hAnsi="Times New Roman" w:eastAsia="宋体" w:cs="Times New Roman"/>
          <w:color w:val="000000"/>
          <w:kern w:val="2"/>
          <w:sz w:val="28"/>
          <w:szCs w:val="28"/>
          <w:highlight w:val="none"/>
          <w:lang w:val="en-US" w:eastAsia="zh-CN" w:bidi="ar-SA"/>
        </w:rPr>
        <w:t>/m</w:t>
      </w:r>
      <w:r>
        <w:rPr>
          <w:rFonts w:hint="default" w:ascii="Times New Roman" w:hAnsi="Times New Roman" w:eastAsia="宋体" w:cs="Times New Roman"/>
          <w:color w:val="000000"/>
          <w:kern w:val="2"/>
          <w:sz w:val="28"/>
          <w:szCs w:val="28"/>
          <w:highlight w:val="none"/>
          <w:vertAlign w:val="superscript"/>
          <w:lang w:val="en-US" w:eastAsia="zh-CN" w:bidi="ar-SA"/>
        </w:rPr>
        <w:t>3</w:t>
      </w:r>
      <w:r>
        <w:rPr>
          <w:rFonts w:hint="default" w:ascii="Times New Roman" w:hAnsi="Times New Roman" w:eastAsia="宋体" w:cs="Times New Roman"/>
          <w:color w:val="000000"/>
          <w:kern w:val="2"/>
          <w:sz w:val="28"/>
          <w:szCs w:val="28"/>
          <w:highlight w:val="none"/>
          <w:vertAlign w:val="baseline"/>
          <w:lang w:val="en-US" w:eastAsia="zh-CN" w:bidi="ar-SA"/>
        </w:rPr>
        <w:t>、0.02kg/h；</w:t>
      </w:r>
      <w:r>
        <w:rPr>
          <w:rFonts w:hint="default" w:ascii="Times New Roman" w:hAnsi="Times New Roman" w:eastAsia="宋体" w:cs="Times New Roman"/>
          <w:color w:val="000000"/>
          <w:kern w:val="2"/>
          <w:sz w:val="28"/>
          <w:szCs w:val="28"/>
          <w:lang w:val="en-US" w:eastAsia="zh-CN" w:bidi="ar-SA"/>
        </w:rPr>
        <w:t>50mg</w:t>
      </w:r>
      <w:r>
        <w:rPr>
          <w:rFonts w:hint="default" w:ascii="Times New Roman" w:hAnsi="Times New Roman" w:eastAsia="宋体" w:cs="Times New Roman"/>
          <w:color w:val="000000"/>
          <w:kern w:val="2"/>
          <w:sz w:val="28"/>
          <w:szCs w:val="28"/>
          <w:highlight w:val="none"/>
          <w:lang w:val="en-US" w:eastAsia="zh-CN" w:bidi="ar-SA"/>
        </w:rPr>
        <w:t>/m</w:t>
      </w:r>
      <w:r>
        <w:rPr>
          <w:rFonts w:hint="default" w:ascii="Times New Roman" w:hAnsi="Times New Roman" w:eastAsia="宋体" w:cs="Times New Roman"/>
          <w:color w:val="000000"/>
          <w:kern w:val="2"/>
          <w:sz w:val="28"/>
          <w:szCs w:val="28"/>
          <w:highlight w:val="none"/>
          <w:vertAlign w:val="superscript"/>
          <w:lang w:val="en-US" w:eastAsia="zh-CN" w:bidi="ar-SA"/>
        </w:rPr>
        <w:t>3</w:t>
      </w:r>
      <w:r>
        <w:rPr>
          <w:rFonts w:hint="default" w:ascii="Times New Roman" w:hAnsi="Times New Roman" w:eastAsia="宋体" w:cs="Times New Roman"/>
          <w:color w:val="000000"/>
          <w:kern w:val="2"/>
          <w:sz w:val="28"/>
          <w:szCs w:val="28"/>
          <w:highlight w:val="none"/>
          <w:vertAlign w:val="baseline"/>
          <w:lang w:val="en-US" w:eastAsia="zh-CN" w:bidi="ar-SA"/>
        </w:rPr>
        <w:t>、0.32kg/h；</w:t>
      </w:r>
      <w:r>
        <w:rPr>
          <w:rFonts w:hint="default" w:ascii="Times New Roman" w:hAnsi="Times New Roman" w:eastAsia="宋体" w:cs="Times New Roman"/>
          <w:color w:val="000000"/>
          <w:kern w:val="2"/>
          <w:sz w:val="28"/>
          <w:szCs w:val="28"/>
          <w:lang w:val="en-US" w:eastAsia="zh-CN" w:bidi="ar-SA"/>
        </w:rPr>
        <w:t>3.1mg</w:t>
      </w:r>
      <w:r>
        <w:rPr>
          <w:rFonts w:hint="default" w:ascii="Times New Roman" w:hAnsi="Times New Roman" w:eastAsia="宋体" w:cs="Times New Roman"/>
          <w:color w:val="000000"/>
          <w:kern w:val="2"/>
          <w:sz w:val="28"/>
          <w:szCs w:val="28"/>
          <w:highlight w:val="none"/>
          <w:lang w:val="en-US" w:eastAsia="zh-CN" w:bidi="ar-SA"/>
        </w:rPr>
        <w:t>/m</w:t>
      </w:r>
      <w:r>
        <w:rPr>
          <w:rFonts w:hint="default" w:ascii="Times New Roman" w:hAnsi="Times New Roman" w:eastAsia="宋体" w:cs="Times New Roman"/>
          <w:color w:val="000000"/>
          <w:kern w:val="2"/>
          <w:sz w:val="28"/>
          <w:szCs w:val="28"/>
          <w:highlight w:val="none"/>
          <w:vertAlign w:val="superscript"/>
          <w:lang w:val="en-US" w:eastAsia="zh-CN" w:bidi="ar-SA"/>
        </w:rPr>
        <w:t>3</w:t>
      </w:r>
      <w:r>
        <w:rPr>
          <w:rFonts w:hint="default" w:ascii="Times New Roman" w:hAnsi="Times New Roman" w:eastAsia="宋体" w:cs="Times New Roman"/>
          <w:color w:val="000000"/>
          <w:kern w:val="2"/>
          <w:sz w:val="28"/>
          <w:szCs w:val="28"/>
          <w:highlight w:val="none"/>
          <w:vertAlign w:val="baseline"/>
          <w:lang w:val="en-US" w:eastAsia="zh-CN" w:bidi="ar-SA"/>
        </w:rPr>
        <w:t>、0.020kg/h，均满足《山东省区域性大气污染物综合排放标准》（DB37/2376-2013）表2中</w:t>
      </w:r>
      <w:bookmarkStart w:id="0" w:name="_GoBack"/>
      <w:bookmarkEnd w:id="0"/>
      <w:r>
        <w:rPr>
          <w:rFonts w:hint="default" w:ascii="Times New Roman" w:hAnsi="Times New Roman" w:eastAsia="宋体" w:cs="Times New Roman"/>
          <w:color w:val="000000"/>
          <w:kern w:val="2"/>
          <w:sz w:val="28"/>
          <w:szCs w:val="28"/>
          <w:highlight w:val="none"/>
          <w:vertAlign w:val="baseline"/>
          <w:lang w:val="en-US" w:eastAsia="zh-CN" w:bidi="ar-SA"/>
        </w:rPr>
        <w:t>一般控制区的标准及《大气污染物综合排放标准》（GB16297-1996）表2中相关排放速率二级限值标准，同时满足《锅炉大气污染物排放标准》（DB 37/2374-2018）表2相关标准限值</w:t>
      </w:r>
      <w:r>
        <w:rPr>
          <w:rFonts w:hint="default" w:ascii="Times New Roman" w:hAnsi="Times New Roman" w:eastAsia="宋体" w:cs="Times New Roman"/>
          <w:color w:val="000000"/>
          <w:kern w:val="2"/>
          <w:sz w:val="28"/>
          <w:szCs w:val="28"/>
          <w:lang w:val="en-US" w:eastAsia="zh-CN" w:bidi="ar-SA"/>
        </w:rPr>
        <w:t>。有组织油烟最大排放浓度为0.64mg</w:t>
      </w:r>
      <w:r>
        <w:rPr>
          <w:rFonts w:hint="default" w:ascii="Times New Roman" w:hAnsi="Times New Roman" w:eastAsia="宋体" w:cs="Times New Roman"/>
          <w:color w:val="000000"/>
          <w:kern w:val="2"/>
          <w:sz w:val="28"/>
          <w:szCs w:val="28"/>
          <w:highlight w:val="none"/>
          <w:lang w:val="en-US" w:eastAsia="zh-CN" w:bidi="ar-SA"/>
        </w:rPr>
        <w:t>/m</w:t>
      </w:r>
      <w:r>
        <w:rPr>
          <w:rFonts w:hint="default" w:ascii="Times New Roman" w:hAnsi="Times New Roman" w:eastAsia="宋体" w:cs="Times New Roman"/>
          <w:color w:val="000000"/>
          <w:kern w:val="2"/>
          <w:sz w:val="28"/>
          <w:szCs w:val="28"/>
          <w:highlight w:val="none"/>
          <w:vertAlign w:val="superscript"/>
          <w:lang w:val="en-US" w:eastAsia="zh-CN" w:bidi="ar-SA"/>
        </w:rPr>
        <w:t>3</w:t>
      </w:r>
      <w:r>
        <w:rPr>
          <w:rFonts w:hint="default" w:ascii="Times New Roman" w:hAnsi="Times New Roman" w:eastAsia="宋体" w:cs="Times New Roman"/>
          <w:color w:val="000000"/>
          <w:kern w:val="2"/>
          <w:sz w:val="28"/>
          <w:szCs w:val="28"/>
          <w:highlight w:val="none"/>
          <w:vertAlign w:val="baseline"/>
          <w:lang w:val="en-US" w:eastAsia="zh-CN" w:bidi="ar-SA"/>
        </w:rPr>
        <w:t>，</w:t>
      </w:r>
      <w:r>
        <w:rPr>
          <w:rFonts w:hint="default" w:ascii="Times New Roman" w:hAnsi="Times New Roman" w:eastAsia="宋体" w:cs="Times New Roman"/>
          <w:sz w:val="28"/>
          <w:szCs w:val="28"/>
          <w:lang w:val="en-US" w:eastAsia="zh-CN"/>
        </w:rPr>
        <w:t>满足《饮食业油烟排放标准》表2中标准要求。</w:t>
      </w:r>
      <w:r>
        <w:rPr>
          <w:rFonts w:hint="default" w:ascii="Times New Roman" w:hAnsi="Times New Roman" w:eastAsia="宋体" w:cs="Times New Roman"/>
          <w:color w:val="000000"/>
          <w:kern w:val="2"/>
          <w:sz w:val="28"/>
          <w:szCs w:val="28"/>
          <w:lang w:val="en-US" w:eastAsia="zh-CN" w:bidi="ar-SA"/>
        </w:rPr>
        <w:t>无组织颗粒物小时浓度最高为0.313mg∕m</w:t>
      </w:r>
      <w:r>
        <w:rPr>
          <w:rFonts w:hint="default" w:ascii="Times New Roman" w:hAnsi="Times New Roman" w:eastAsia="宋体" w:cs="Times New Roman"/>
          <w:color w:val="000000"/>
          <w:kern w:val="2"/>
          <w:sz w:val="28"/>
          <w:szCs w:val="28"/>
          <w:vertAlign w:val="superscript"/>
          <w:lang w:val="en-US" w:eastAsia="zh-CN" w:bidi="ar-SA"/>
        </w:rPr>
        <w:t>3</w:t>
      </w:r>
      <w:r>
        <w:rPr>
          <w:rFonts w:hint="default" w:ascii="Times New Roman" w:hAnsi="Times New Roman" w:eastAsia="宋体" w:cs="Times New Roman"/>
          <w:color w:val="000000"/>
          <w:kern w:val="2"/>
          <w:sz w:val="28"/>
          <w:szCs w:val="28"/>
          <w:lang w:val="en-US" w:eastAsia="zh-CN" w:bidi="ar-SA"/>
        </w:rPr>
        <w:t>，满足《建材工业大气污染物排放标准》（DB37/2373-2018）表3中的标准要求。</w:t>
      </w:r>
    </w:p>
    <w:p>
      <w:pPr>
        <w:spacing w:line="360" w:lineRule="auto"/>
        <w:ind w:firstLine="560" w:firstLineChars="20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b w:val="0"/>
          <w:bCs w:val="0"/>
          <w:color w:val="000000"/>
          <w:kern w:val="2"/>
          <w:sz w:val="28"/>
          <w:szCs w:val="28"/>
          <w:lang w:val="en-US" w:eastAsia="zh-CN" w:bidi="ar-SA"/>
        </w:rPr>
        <w:t>本项目折满负荷</w:t>
      </w:r>
      <w:r>
        <w:rPr>
          <w:rFonts w:hint="default" w:ascii="Times New Roman" w:hAnsi="Times New Roman" w:eastAsia="宋体" w:cs="Times New Roman"/>
          <w:color w:val="000000"/>
          <w:kern w:val="2"/>
          <w:sz w:val="28"/>
          <w:szCs w:val="28"/>
          <w:lang w:val="en-US" w:eastAsia="zh-CN" w:bidi="ar-SA"/>
        </w:rPr>
        <w:t>SO</w:t>
      </w:r>
      <w:r>
        <w:rPr>
          <w:rFonts w:hint="default" w:ascii="Times New Roman" w:hAnsi="Times New Roman" w:eastAsia="宋体" w:cs="Times New Roman"/>
          <w:color w:val="000000"/>
          <w:kern w:val="2"/>
          <w:sz w:val="28"/>
          <w:szCs w:val="28"/>
          <w:vertAlign w:val="subscript"/>
          <w:lang w:val="en-US" w:eastAsia="zh-CN" w:bidi="ar-SA"/>
        </w:rPr>
        <w:t>2</w:t>
      </w:r>
      <w:r>
        <w:rPr>
          <w:rFonts w:hint="default" w:ascii="Times New Roman" w:hAnsi="Times New Roman" w:eastAsia="宋体" w:cs="Times New Roman"/>
          <w:color w:val="000000"/>
          <w:kern w:val="2"/>
          <w:sz w:val="28"/>
          <w:szCs w:val="28"/>
          <w:vertAlign w:val="baseline"/>
          <w:lang w:val="en-US" w:eastAsia="zh-CN" w:bidi="ar-SA"/>
        </w:rPr>
        <w:t>、</w:t>
      </w:r>
      <w:r>
        <w:rPr>
          <w:rFonts w:hint="default" w:ascii="Times New Roman" w:hAnsi="Times New Roman" w:eastAsia="宋体" w:cs="Times New Roman"/>
          <w:sz w:val="28"/>
          <w:szCs w:val="28"/>
          <w:vertAlign w:val="baseline"/>
          <w:lang w:val="en-US" w:eastAsia="zh-CN"/>
        </w:rPr>
        <w:t>NO</w:t>
      </w:r>
      <w:r>
        <w:rPr>
          <w:rFonts w:hint="default" w:ascii="Times New Roman" w:hAnsi="Times New Roman" w:eastAsia="宋体" w:cs="Times New Roman"/>
          <w:sz w:val="28"/>
          <w:szCs w:val="28"/>
          <w:vertAlign w:val="subscript"/>
          <w:lang w:val="en-US" w:eastAsia="zh-CN"/>
        </w:rPr>
        <w:t>x</w:t>
      </w:r>
      <w:r>
        <w:rPr>
          <w:rFonts w:hint="default" w:ascii="Times New Roman" w:hAnsi="Times New Roman" w:eastAsia="宋体" w:cs="Times New Roman"/>
          <w:b w:val="0"/>
          <w:bCs w:val="0"/>
          <w:color w:val="000000"/>
          <w:kern w:val="2"/>
          <w:sz w:val="28"/>
          <w:szCs w:val="28"/>
          <w:lang w:val="en-US" w:eastAsia="zh-CN" w:bidi="ar-SA"/>
        </w:rPr>
        <w:t>排放总量分别为0.144t/a、2.304t/a，满足聊城市环保局东昌府区分局批复总量指标</w:t>
      </w:r>
      <w:r>
        <w:rPr>
          <w:rFonts w:hint="default" w:ascii="Times New Roman" w:hAnsi="Times New Roman" w:eastAsia="宋体" w:cs="Times New Roman"/>
          <w:color w:val="000000"/>
          <w:kern w:val="2"/>
          <w:sz w:val="28"/>
          <w:szCs w:val="28"/>
          <w:lang w:val="en-US" w:eastAsia="zh-CN" w:bidi="ar-SA"/>
        </w:rPr>
        <w:t>SO</w:t>
      </w:r>
      <w:r>
        <w:rPr>
          <w:rFonts w:hint="default" w:ascii="Times New Roman" w:hAnsi="Times New Roman" w:eastAsia="宋体" w:cs="Times New Roman"/>
          <w:color w:val="000000"/>
          <w:kern w:val="2"/>
          <w:sz w:val="28"/>
          <w:szCs w:val="28"/>
          <w:vertAlign w:val="subscript"/>
          <w:lang w:val="en-US" w:eastAsia="zh-CN" w:bidi="ar-SA"/>
        </w:rPr>
        <w:t>2</w:t>
      </w:r>
      <w:r>
        <w:rPr>
          <w:rFonts w:hint="default" w:ascii="Times New Roman" w:hAnsi="Times New Roman" w:eastAsia="宋体" w:cs="Times New Roman"/>
          <w:color w:val="000000"/>
          <w:kern w:val="2"/>
          <w:sz w:val="28"/>
          <w:szCs w:val="28"/>
          <w:vertAlign w:val="baseline"/>
          <w:lang w:val="en-US" w:eastAsia="zh-CN" w:bidi="ar-SA"/>
        </w:rPr>
        <w:t>1.296t/a、</w:t>
      </w:r>
      <w:r>
        <w:rPr>
          <w:rFonts w:hint="default" w:ascii="Times New Roman" w:hAnsi="Times New Roman" w:eastAsia="宋体" w:cs="Times New Roman"/>
          <w:sz w:val="28"/>
          <w:szCs w:val="28"/>
          <w:vertAlign w:val="baseline"/>
          <w:lang w:val="en-US" w:eastAsia="zh-CN"/>
        </w:rPr>
        <w:t>NO</w:t>
      </w:r>
      <w:r>
        <w:rPr>
          <w:rFonts w:hint="default" w:ascii="Times New Roman" w:hAnsi="Times New Roman" w:eastAsia="宋体" w:cs="Times New Roman"/>
          <w:sz w:val="28"/>
          <w:szCs w:val="28"/>
          <w:vertAlign w:val="subscript"/>
          <w:lang w:val="en-US" w:eastAsia="zh-CN"/>
        </w:rPr>
        <w:t>x</w:t>
      </w:r>
      <w:r>
        <w:rPr>
          <w:rFonts w:hint="default" w:ascii="Times New Roman" w:hAnsi="Times New Roman" w:eastAsia="宋体" w:cs="Times New Roman"/>
          <w:b w:val="0"/>
          <w:bCs w:val="0"/>
          <w:color w:val="000000"/>
          <w:kern w:val="2"/>
          <w:sz w:val="28"/>
          <w:szCs w:val="28"/>
          <w:lang w:val="en-US" w:eastAsia="zh-CN" w:bidi="ar-SA"/>
        </w:rPr>
        <w:t>3.637t/a</w:t>
      </w:r>
      <w:r>
        <w:rPr>
          <w:rFonts w:hint="default" w:ascii="Times New Roman" w:hAnsi="Times New Roman" w:eastAsia="宋体" w:cs="Times New Roman"/>
          <w:color w:val="auto"/>
          <w:sz w:val="28"/>
          <w:szCs w:val="28"/>
          <w:lang w:val="en-US" w:eastAsia="zh-CN"/>
        </w:rPr>
        <w:t>。</w:t>
      </w:r>
    </w:p>
    <w:p>
      <w:p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beforeLines="50" w:line="360" w:lineRule="auto"/>
        <w:ind w:firstLine="560" w:firstLineChars="200"/>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val="en-US" w:eastAsia="zh-CN"/>
        </w:rPr>
        <w:t>验收监测期间，监测点位昼间噪声在58.1-62.3(dB)之间，夜间噪声在48.7-53.0(dB)之间，符合《工业企业厂界环境噪声排放标准》（GB12348-2008）中的3类标准限值</w:t>
      </w:r>
      <w:r>
        <w:rPr>
          <w:rFonts w:hint="default" w:ascii="Times New Roman" w:hAnsi="Times New Roman" w:eastAsia="宋体" w:cs="Times New Roman"/>
          <w:color w:val="auto"/>
          <w:sz w:val="28"/>
          <w:szCs w:val="28"/>
          <w:lang w:eastAsia="zh-CN"/>
        </w:rPr>
        <w:t>。</w:t>
      </w:r>
    </w:p>
    <w:p>
      <w:pPr>
        <w:numPr>
          <w:ilvl w:val="0"/>
          <w:numId w:val="3"/>
        </w:num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废钢筋回收后出售；污水中沉渣经砂石分离机分离后回用于生产；生活垃圾由环卫部门定期清运</w:t>
      </w:r>
      <w:r>
        <w:rPr>
          <w:rFonts w:hint="default" w:ascii="Times New Roman" w:hAnsi="Times New Roman" w:eastAsia="宋体" w:cs="Times New Roman"/>
          <w:color w:val="auto"/>
          <w:sz w:val="28"/>
          <w:szCs w:val="28"/>
        </w:rPr>
        <w:t>。</w:t>
      </w:r>
    </w:p>
    <w:p>
      <w:pPr>
        <w:spacing w:beforeLines="50" w:line="360" w:lineRule="auto"/>
        <w:ind w:firstLine="280" w:firstLineChars="1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36"/>
          <w:lang w:eastAsia="zh-CN"/>
        </w:rPr>
        <w:t>山东瑞坤装配式建筑科技有限公司</w:t>
      </w:r>
      <w:r>
        <w:rPr>
          <w:rFonts w:hint="default" w:ascii="Times New Roman" w:hAnsi="Times New Roman" w:eastAsia="宋体" w:cs="Times New Roman"/>
          <w:color w:val="auto"/>
          <w:sz w:val="28"/>
          <w:szCs w:val="28"/>
        </w:rPr>
        <w:t>制定了《</w:t>
      </w:r>
      <w:r>
        <w:rPr>
          <w:rFonts w:hint="default" w:ascii="Times New Roman" w:hAnsi="Times New Roman" w:eastAsia="宋体" w:cs="Times New Roman"/>
          <w:color w:val="auto"/>
          <w:sz w:val="28"/>
          <w:szCs w:val="36"/>
          <w:lang w:eastAsia="zh-CN"/>
        </w:rPr>
        <w:t>山东瑞坤装配式建筑科技有限公司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default"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4"/>
        </w:numPr>
        <w:ind w:left="560" w:leftChars="0" w:firstLine="0" w:firstLineChars="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注意清洁生产，保持厂区卫生。</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firstLine="555"/>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p>
      <w:pPr>
        <w:spacing w:line="360" w:lineRule="auto"/>
        <w:jc w:val="right"/>
        <w:rPr>
          <w:rFonts w:hint="default" w:ascii="Times New Roman" w:hAnsi="Times New Roman" w:eastAsia="宋体" w:cs="Times New Roman"/>
          <w:color w:val="auto"/>
          <w:sz w:val="28"/>
          <w:szCs w:val="28"/>
        </w:rPr>
      </w:pPr>
    </w:p>
    <w:p>
      <w:pPr>
        <w:pStyle w:val="2"/>
        <w:rPr>
          <w:rFonts w:hint="default" w:ascii="Times New Roman" w:hAnsi="Times New Roman" w:eastAsia="宋体" w:cs="Times New Roman"/>
        </w:rPr>
      </w:pPr>
    </w:p>
    <w:p>
      <w:pPr>
        <w:spacing w:line="360" w:lineRule="auto"/>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36"/>
          <w:lang w:eastAsia="zh-CN"/>
        </w:rPr>
        <w:t>山东瑞坤装配式建筑科技有限公司</w:t>
      </w:r>
      <w:r>
        <w:rPr>
          <w:rFonts w:hint="default" w:ascii="Times New Roman" w:hAnsi="Times New Roman" w:eastAsia="宋体" w:cs="Times New Roman"/>
          <w:color w:val="auto"/>
          <w:sz w:val="28"/>
          <w:szCs w:val="28"/>
        </w:rPr>
        <w:t>验收组</w:t>
      </w:r>
    </w:p>
    <w:p>
      <w:pPr>
        <w:spacing w:line="360" w:lineRule="auto"/>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64B0A"/>
    <w:rsid w:val="01A67464"/>
    <w:rsid w:val="02E1230E"/>
    <w:rsid w:val="0363342C"/>
    <w:rsid w:val="0400088B"/>
    <w:rsid w:val="0705220E"/>
    <w:rsid w:val="0A775B6C"/>
    <w:rsid w:val="0AB0563F"/>
    <w:rsid w:val="0BB105F9"/>
    <w:rsid w:val="0BCD78E3"/>
    <w:rsid w:val="0BD4352F"/>
    <w:rsid w:val="0D002E61"/>
    <w:rsid w:val="0E9F521D"/>
    <w:rsid w:val="110D6D4E"/>
    <w:rsid w:val="13242E95"/>
    <w:rsid w:val="17073D8B"/>
    <w:rsid w:val="188E6607"/>
    <w:rsid w:val="18D05E89"/>
    <w:rsid w:val="19BD6A9B"/>
    <w:rsid w:val="1AAF6CA7"/>
    <w:rsid w:val="1B753DC5"/>
    <w:rsid w:val="1FD53468"/>
    <w:rsid w:val="202921C8"/>
    <w:rsid w:val="20F95110"/>
    <w:rsid w:val="21E62141"/>
    <w:rsid w:val="24DD3549"/>
    <w:rsid w:val="27420539"/>
    <w:rsid w:val="284C33EF"/>
    <w:rsid w:val="28596E1A"/>
    <w:rsid w:val="286B6E9D"/>
    <w:rsid w:val="2BD129D7"/>
    <w:rsid w:val="2BFB35B9"/>
    <w:rsid w:val="2C8345D6"/>
    <w:rsid w:val="31572BC2"/>
    <w:rsid w:val="33AF15E1"/>
    <w:rsid w:val="3B2962D5"/>
    <w:rsid w:val="3C2B7BA8"/>
    <w:rsid w:val="3C495586"/>
    <w:rsid w:val="3C614E95"/>
    <w:rsid w:val="3D216C63"/>
    <w:rsid w:val="3D481CA9"/>
    <w:rsid w:val="3FA804B0"/>
    <w:rsid w:val="425A3055"/>
    <w:rsid w:val="42D02360"/>
    <w:rsid w:val="440B2C50"/>
    <w:rsid w:val="45B12AB5"/>
    <w:rsid w:val="4BC32318"/>
    <w:rsid w:val="4D966CB6"/>
    <w:rsid w:val="51603323"/>
    <w:rsid w:val="52082039"/>
    <w:rsid w:val="520B1012"/>
    <w:rsid w:val="56DD1623"/>
    <w:rsid w:val="5B994AD0"/>
    <w:rsid w:val="5BB97A85"/>
    <w:rsid w:val="5C705EEE"/>
    <w:rsid w:val="5D580A9C"/>
    <w:rsid w:val="5F0C4CFF"/>
    <w:rsid w:val="61BD3F64"/>
    <w:rsid w:val="64C4763E"/>
    <w:rsid w:val="65826A80"/>
    <w:rsid w:val="66FB5067"/>
    <w:rsid w:val="6A4209DB"/>
    <w:rsid w:val="6ABA50EB"/>
    <w:rsid w:val="6DEB0CC4"/>
    <w:rsid w:val="6E600085"/>
    <w:rsid w:val="6E620EC2"/>
    <w:rsid w:val="712454B5"/>
    <w:rsid w:val="72964393"/>
    <w:rsid w:val="72C90F73"/>
    <w:rsid w:val="73B15190"/>
    <w:rsid w:val="7593546D"/>
    <w:rsid w:val="75C3338A"/>
    <w:rsid w:val="77930543"/>
    <w:rsid w:val="7B2D3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2019-06-12T06:11:24Z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