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60"/>
        </w:tabs>
        <w:spacing w:line="360" w:lineRule="auto"/>
        <w:ind w:left="298" w:leftChars="142"/>
        <w:jc w:val="center"/>
        <w:rPr>
          <w:rFonts w:hint="eastAsia" w:asciiTheme="majorEastAsia" w:hAnsiTheme="majorEastAsia" w:eastAsiaTheme="majorEastAsia"/>
          <w:b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/>
          <w:b/>
          <w:sz w:val="28"/>
          <w:szCs w:val="28"/>
          <w:lang w:eastAsia="zh-CN"/>
        </w:rPr>
        <w:t>山东宁美软管有限公司年产50吨软管组件项目</w:t>
      </w:r>
    </w:p>
    <w:p>
      <w:pPr>
        <w:tabs>
          <w:tab w:val="left" w:pos="360"/>
        </w:tabs>
        <w:spacing w:line="360" w:lineRule="auto"/>
        <w:ind w:left="298" w:leftChars="142"/>
        <w:jc w:val="center"/>
        <w:rPr>
          <w:rFonts w:asciiTheme="majorEastAsia" w:hAnsiTheme="majorEastAsia" w:eastAsiaTheme="majorEastAsia"/>
          <w:b/>
          <w:sz w:val="30"/>
          <w:szCs w:val="30"/>
        </w:rPr>
      </w:pPr>
      <w:r>
        <w:rPr>
          <w:rFonts w:asciiTheme="majorEastAsia" w:hAnsiTheme="majorEastAsia" w:eastAsiaTheme="majorEastAsia"/>
          <w:b/>
          <w:sz w:val="28"/>
          <w:szCs w:val="28"/>
        </w:rPr>
        <w:t>竣工环境保护验收现场检查及验收工作组验收意见</w:t>
      </w:r>
    </w:p>
    <w:p>
      <w:pPr>
        <w:tabs>
          <w:tab w:val="left" w:pos="360"/>
        </w:tabs>
        <w:spacing w:line="360" w:lineRule="auto"/>
        <w:ind w:left="298" w:leftChars="142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sz w:val="30"/>
          <w:szCs w:val="30"/>
        </w:rPr>
        <w:t xml:space="preserve">    </w:t>
      </w:r>
      <w:r>
        <w:rPr>
          <w:rFonts w:asciiTheme="majorEastAsia" w:hAnsiTheme="majorEastAsia" w:eastAsiaTheme="majorEastAsia"/>
          <w:sz w:val="28"/>
          <w:szCs w:val="28"/>
        </w:rPr>
        <w:t>201</w:t>
      </w:r>
      <w:r>
        <w:rPr>
          <w:rFonts w:hint="eastAsia" w:asciiTheme="majorEastAsia" w:hAnsiTheme="majorEastAsia" w:eastAsiaTheme="majorEastAsia"/>
          <w:sz w:val="28"/>
          <w:szCs w:val="28"/>
        </w:rPr>
        <w:t>9</w:t>
      </w:r>
      <w:r>
        <w:rPr>
          <w:rFonts w:asciiTheme="majorEastAsia" w:hAnsiTheme="majorEastAsia" w:eastAsia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6</w:t>
      </w:r>
      <w:r>
        <w:rPr>
          <w:rFonts w:asciiTheme="majorEastAsia" w:hAnsiTheme="majorEastAsia" w:eastAsia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15</w:t>
      </w:r>
      <w:r>
        <w:rPr>
          <w:rFonts w:asciiTheme="majorEastAsia" w:hAnsiTheme="majorEastAsia" w:eastAsiaTheme="majorEastAsia"/>
          <w:sz w:val="28"/>
          <w:szCs w:val="28"/>
        </w:rPr>
        <w:t>日，</w:t>
      </w: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山东宁美软管有限公司</w:t>
      </w:r>
      <w:r>
        <w:rPr>
          <w:rFonts w:asciiTheme="majorEastAsia" w:hAnsiTheme="majorEastAsia" w:eastAsiaTheme="majorEastAsia"/>
          <w:sz w:val="28"/>
          <w:szCs w:val="28"/>
        </w:rPr>
        <w:t>组织召开</w:t>
      </w: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山东宁美软管有限公司年产50吨软管组件项目</w:t>
      </w:r>
      <w:r>
        <w:rPr>
          <w:rFonts w:asciiTheme="majorEastAsia" w:hAnsiTheme="majorEastAsia" w:eastAsiaTheme="majorEastAsia"/>
          <w:sz w:val="28"/>
          <w:szCs w:val="28"/>
        </w:rPr>
        <w:t>竣工环境保护验收现场检查及验收会。验收组由</w:t>
      </w:r>
      <w:r>
        <w:rPr>
          <w:rFonts w:hint="eastAsia" w:asciiTheme="majorEastAsia" w:hAnsiTheme="majorEastAsia" w:eastAsiaTheme="majorEastAsia"/>
          <w:sz w:val="28"/>
          <w:szCs w:val="28"/>
        </w:rPr>
        <w:t>业主</w:t>
      </w:r>
      <w:r>
        <w:rPr>
          <w:rFonts w:asciiTheme="majorEastAsia" w:hAnsiTheme="majorEastAsia" w:eastAsiaTheme="majorEastAsia"/>
          <w:sz w:val="28"/>
          <w:szCs w:val="28"/>
        </w:rPr>
        <w:t>单位（</w:t>
      </w: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山东宁美软管有限公司</w:t>
      </w:r>
      <w:r>
        <w:rPr>
          <w:rFonts w:asciiTheme="majorEastAsia" w:hAnsiTheme="majorEastAsia" w:eastAsiaTheme="majorEastAsia"/>
          <w:sz w:val="28"/>
          <w:szCs w:val="28"/>
        </w:rPr>
        <w:t>）、环评单位（</w:t>
      </w: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德州市环境保护科学研究所有限公司</w:t>
      </w:r>
      <w:r>
        <w:rPr>
          <w:rFonts w:asciiTheme="majorEastAsia" w:hAnsiTheme="majorEastAsia" w:eastAsiaTheme="majorEastAsia"/>
          <w:sz w:val="28"/>
          <w:szCs w:val="28"/>
        </w:rPr>
        <w:t>）、监测单位（山东聊和环保科技有限公司）并特邀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3</w:t>
      </w:r>
      <w:r>
        <w:rPr>
          <w:rFonts w:asciiTheme="majorEastAsia" w:hAnsiTheme="majorEastAsia" w:eastAsiaTheme="majorEastAsia"/>
          <w:sz w:val="28"/>
          <w:szCs w:val="28"/>
        </w:rPr>
        <w:t>名技术专家组成。</w:t>
      </w:r>
    </w:p>
    <w:p>
      <w:pPr>
        <w:tabs>
          <w:tab w:val="left" w:pos="360"/>
        </w:tabs>
        <w:spacing w:line="360" w:lineRule="auto"/>
        <w:ind w:left="298" w:leftChars="142" w:firstLine="560" w:firstLineChars="20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sz w:val="28"/>
          <w:szCs w:val="28"/>
        </w:rPr>
        <w:t>验收组现场核实了本项目环保工作落实情况，根据项目竣工环境保护验收监测报告并对照《建设项目环境保护管理条例》、《建设项目竣工环境保护验收暂行办法》，依照国家有关法律法规、建设项目竣工环境保护验收技术规范、本项目环境影响评价报告表和审批部门审批决定等</w:t>
      </w:r>
      <w:r>
        <w:rPr>
          <w:rFonts w:hint="eastAsia" w:asciiTheme="majorEastAsia" w:hAnsiTheme="majorEastAsia" w:eastAsiaTheme="majorEastAsia"/>
          <w:sz w:val="28"/>
          <w:szCs w:val="28"/>
        </w:rPr>
        <w:t>,</w:t>
      </w:r>
      <w:r>
        <w:rPr>
          <w:rFonts w:asciiTheme="majorEastAsia" w:hAnsiTheme="majorEastAsia" w:eastAsiaTheme="majorEastAsia"/>
          <w:sz w:val="28"/>
          <w:szCs w:val="28"/>
        </w:rPr>
        <w:t>对本项目进行验收</w:t>
      </w:r>
      <w:r>
        <w:rPr>
          <w:rFonts w:hint="eastAsia" w:asciiTheme="majorEastAsia" w:hAnsiTheme="majorEastAsia" w:eastAsiaTheme="majorEastAsia"/>
          <w:sz w:val="28"/>
          <w:szCs w:val="28"/>
        </w:rPr>
        <w:t>。</w:t>
      </w:r>
      <w:r>
        <w:rPr>
          <w:rFonts w:asciiTheme="majorEastAsia" w:hAnsiTheme="majorEastAsia" w:eastAsiaTheme="majorEastAsia"/>
          <w:sz w:val="28"/>
          <w:szCs w:val="28"/>
        </w:rPr>
        <w:t>经研究</w:t>
      </w:r>
      <w:r>
        <w:rPr>
          <w:rFonts w:hint="eastAsia" w:asciiTheme="majorEastAsia" w:hAnsiTheme="majorEastAsia" w:eastAsiaTheme="majorEastAsia"/>
          <w:sz w:val="28"/>
          <w:szCs w:val="28"/>
        </w:rPr>
        <w:t>形成验收</w:t>
      </w:r>
      <w:r>
        <w:rPr>
          <w:rFonts w:asciiTheme="majorEastAsia" w:hAnsiTheme="majorEastAsia" w:eastAsiaTheme="majorEastAsia"/>
          <w:sz w:val="28"/>
          <w:szCs w:val="28"/>
        </w:rPr>
        <w:t>意见如下：</w:t>
      </w:r>
    </w:p>
    <w:p>
      <w:pPr>
        <w:spacing w:line="360" w:lineRule="auto"/>
        <w:ind w:firstLine="562" w:firstLineChars="200"/>
        <w:jc w:val="left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asciiTheme="majorEastAsia" w:hAnsiTheme="majorEastAsia" w:eastAsiaTheme="majorEastAsia"/>
          <w:b/>
          <w:sz w:val="28"/>
          <w:szCs w:val="28"/>
        </w:rPr>
        <w:t>一、工程建设基本情况</w:t>
      </w:r>
    </w:p>
    <w:p>
      <w:pPr>
        <w:tabs>
          <w:tab w:val="left" w:pos="360"/>
        </w:tabs>
        <w:spacing w:line="360" w:lineRule="auto"/>
        <w:ind w:left="298" w:leftChars="142" w:firstLine="482" w:firstLineChars="20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（一）建设地点、规模、主要建设内容</w:t>
      </w:r>
    </w:p>
    <w:p>
      <w:pPr>
        <w:tabs>
          <w:tab w:val="left" w:pos="360"/>
        </w:tabs>
        <w:spacing w:line="360" w:lineRule="auto"/>
        <w:ind w:left="298" w:leftChars="142" w:firstLine="560" w:firstLineChars="20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项目建设地点</w:t>
      </w:r>
      <w:r>
        <w:rPr>
          <w:rFonts w:asciiTheme="majorEastAsia" w:hAnsiTheme="majorEastAsia" w:eastAsiaTheme="majorEastAsia"/>
          <w:sz w:val="28"/>
          <w:szCs w:val="28"/>
        </w:rPr>
        <w:t>位于</w:t>
      </w: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宁津县工业园区阳光大街2号</w:t>
      </w:r>
      <w:r>
        <w:rPr>
          <w:rFonts w:hint="eastAsia" w:asciiTheme="majorEastAsia" w:hAnsiTheme="majorEastAsia" w:eastAsiaTheme="majorEastAsia"/>
          <w:sz w:val="24"/>
        </w:rPr>
        <w:t>，</w:t>
      </w:r>
      <w:r>
        <w:rPr>
          <w:rFonts w:hint="eastAsia" w:asciiTheme="majorEastAsia" w:hAnsiTheme="majorEastAsia" w:eastAsiaTheme="majorEastAsia"/>
          <w:sz w:val="28"/>
          <w:szCs w:val="28"/>
        </w:rPr>
        <w:t>厂区总占地面积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351</w:t>
      </w:r>
      <w:r>
        <w:rPr>
          <w:rFonts w:hint="eastAsia" w:asciiTheme="majorEastAsia" w:hAnsiTheme="majorEastAsia" w:eastAsiaTheme="majorEastAsia"/>
          <w:sz w:val="28"/>
          <w:szCs w:val="28"/>
        </w:rPr>
        <w:t>m</w:t>
      </w:r>
      <w:r>
        <w:rPr>
          <w:rFonts w:hint="eastAsia" w:asciiTheme="majorEastAsia" w:hAnsiTheme="majorEastAsia" w:eastAsiaTheme="majorEastAsia"/>
          <w:sz w:val="28"/>
          <w:szCs w:val="28"/>
          <w:vertAlign w:val="superscript"/>
        </w:rPr>
        <w:t>2</w:t>
      </w:r>
      <w:r>
        <w:rPr>
          <w:rFonts w:hint="eastAsia" w:asciiTheme="majorEastAsia" w:hAnsiTheme="majorEastAsia" w:eastAsiaTheme="majorEastAsia"/>
          <w:sz w:val="28"/>
          <w:szCs w:val="28"/>
        </w:rPr>
        <w:t>。项目总投资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700</w:t>
      </w:r>
      <w:r>
        <w:rPr>
          <w:rFonts w:hint="eastAsia" w:asciiTheme="majorEastAsia" w:hAnsiTheme="majorEastAsia" w:eastAsiaTheme="majorEastAsia"/>
          <w:sz w:val="28"/>
          <w:szCs w:val="28"/>
        </w:rPr>
        <w:t>万元，</w:t>
      </w: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建设年产50吨软管组件项目</w:t>
      </w:r>
      <w:r>
        <w:rPr>
          <w:rFonts w:hint="eastAsia" w:asciiTheme="majorEastAsia" w:hAnsiTheme="majorEastAsia" w:eastAsiaTheme="majorEastAsia"/>
          <w:sz w:val="28"/>
          <w:szCs w:val="28"/>
        </w:rPr>
        <w:t>。购置</w:t>
      </w: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切割机</w:t>
      </w:r>
      <w:r>
        <w:rPr>
          <w:rFonts w:hint="eastAsia" w:asciiTheme="majorEastAsia" w:hAnsiTheme="majorEastAsia" w:eastAsiaTheme="majorEastAsia"/>
          <w:sz w:val="28"/>
          <w:szCs w:val="28"/>
        </w:rPr>
        <w:t>、</w:t>
      </w: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焊接机器手、二保焊机</w:t>
      </w:r>
      <w:r>
        <w:rPr>
          <w:rFonts w:hint="eastAsia" w:asciiTheme="majorEastAsia" w:hAnsiTheme="majorEastAsia" w:eastAsiaTheme="majorEastAsia"/>
          <w:sz w:val="28"/>
          <w:szCs w:val="28"/>
        </w:rPr>
        <w:t>和</w:t>
      </w: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弯管机</w:t>
      </w:r>
      <w:r>
        <w:rPr>
          <w:rFonts w:hint="eastAsia" w:asciiTheme="majorEastAsia" w:hAnsiTheme="majorEastAsia" w:eastAsiaTheme="majorEastAsia"/>
          <w:sz w:val="28"/>
          <w:szCs w:val="28"/>
        </w:rPr>
        <w:t>等设备及配套环保设备，为公司的发展奠定良好的基础。本次验收范围为</w:t>
      </w: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年产50吨软管组件</w:t>
      </w:r>
      <w:r>
        <w:rPr>
          <w:rFonts w:hint="eastAsia" w:asciiTheme="majorEastAsia" w:hAnsiTheme="majorEastAsia" w:eastAsiaTheme="majorEastAsia"/>
          <w:sz w:val="28"/>
          <w:szCs w:val="28"/>
        </w:rPr>
        <w:t>及其配套环保设施。</w:t>
      </w:r>
    </w:p>
    <w:p>
      <w:pPr>
        <w:tabs>
          <w:tab w:val="left" w:pos="360"/>
        </w:tabs>
        <w:spacing w:line="360" w:lineRule="auto"/>
        <w:ind w:left="298" w:leftChars="142" w:firstLine="560" w:firstLineChars="20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sz w:val="28"/>
          <w:szCs w:val="28"/>
        </w:rPr>
        <w:t>建设性质为</w:t>
      </w: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改扩建</w:t>
      </w:r>
      <w:r>
        <w:rPr>
          <w:rFonts w:asciiTheme="majorEastAsia" w:hAnsiTheme="majorEastAsia" w:eastAsiaTheme="majorEastAsia"/>
          <w:sz w:val="28"/>
          <w:szCs w:val="28"/>
        </w:rPr>
        <w:t>，项目生产规模为：</w:t>
      </w: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年产50吨软管组件</w:t>
      </w:r>
      <w:r>
        <w:rPr>
          <w:rFonts w:hint="eastAsia" w:asciiTheme="majorEastAsia" w:hAnsiTheme="majorEastAsia" w:eastAsiaTheme="majorEastAsia"/>
          <w:sz w:val="28"/>
          <w:szCs w:val="28"/>
        </w:rPr>
        <w:t>。</w:t>
      </w:r>
    </w:p>
    <w:p>
      <w:pPr>
        <w:tabs>
          <w:tab w:val="left" w:pos="360"/>
        </w:tabs>
        <w:spacing w:line="360" w:lineRule="auto"/>
        <w:ind w:firstLine="590" w:firstLineChars="245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（二）环保审批情况</w:t>
      </w:r>
    </w:p>
    <w:p>
      <w:pPr>
        <w:tabs>
          <w:tab w:val="left" w:pos="360"/>
        </w:tabs>
        <w:spacing w:line="360" w:lineRule="auto"/>
        <w:ind w:firstLine="840" w:firstLineChars="30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sz w:val="28"/>
          <w:szCs w:val="28"/>
        </w:rPr>
        <w:t>201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9</w:t>
      </w:r>
      <w:r>
        <w:rPr>
          <w:rFonts w:asciiTheme="majorEastAsia" w:hAnsiTheme="majorEastAsia" w:eastAsia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3</w:t>
      </w:r>
      <w:r>
        <w:rPr>
          <w:rFonts w:asciiTheme="majorEastAsia" w:hAnsiTheme="majorEastAsia" w:eastAsia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山东宁美软管有限公司</w:t>
      </w:r>
      <w:r>
        <w:rPr>
          <w:rFonts w:asciiTheme="majorEastAsia" w:hAnsiTheme="majorEastAsia" w:eastAsiaTheme="majorEastAsia"/>
          <w:sz w:val="28"/>
          <w:szCs w:val="28"/>
        </w:rPr>
        <w:t>委托</w:t>
      </w: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德州市环境保护科学研究所有限公司</w:t>
      </w:r>
      <w:r>
        <w:rPr>
          <w:rFonts w:asciiTheme="majorEastAsia" w:hAnsiTheme="majorEastAsia" w:eastAsiaTheme="majorEastAsia"/>
          <w:sz w:val="28"/>
          <w:szCs w:val="28"/>
        </w:rPr>
        <w:t>编制了《</w:t>
      </w: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山东宁美软管有限公司年产50吨软管组件项目</w:t>
      </w:r>
      <w:r>
        <w:rPr>
          <w:rFonts w:asciiTheme="majorEastAsia" w:hAnsiTheme="majorEastAsia" w:eastAsiaTheme="majorEastAsia"/>
          <w:sz w:val="28"/>
          <w:szCs w:val="28"/>
        </w:rPr>
        <w:t>环境影响报告表》，201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9</w:t>
      </w:r>
      <w:r>
        <w:rPr>
          <w:rFonts w:asciiTheme="majorEastAsia" w:hAnsiTheme="majorEastAsia" w:eastAsia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4</w:t>
      </w:r>
      <w:r>
        <w:rPr>
          <w:rFonts w:asciiTheme="majorEastAsia" w:hAnsiTheme="majorEastAsia" w:eastAsia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宁津县环境保护局</w:t>
      </w:r>
      <w:r>
        <w:rPr>
          <w:rFonts w:asciiTheme="majorEastAsia" w:hAnsiTheme="majorEastAsia" w:eastAsiaTheme="majorEastAsia"/>
          <w:sz w:val="28"/>
          <w:szCs w:val="28"/>
        </w:rPr>
        <w:t>对其进行了审批</w:t>
      </w:r>
      <w:r>
        <w:rPr>
          <w:rFonts w:hint="eastAsia" w:asciiTheme="majorEastAsia" w:hAnsiTheme="majorEastAsia" w:eastAsiaTheme="majorEastAsia"/>
          <w:sz w:val="28"/>
          <w:szCs w:val="28"/>
        </w:rPr>
        <w:t>（</w:t>
      </w: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宁环报告表</w:t>
      </w:r>
      <w:r>
        <w:rPr>
          <w:rFonts w:asciiTheme="majorEastAsia" w:hAnsiTheme="majorEastAsia" w:eastAsiaTheme="majorEastAsia"/>
          <w:sz w:val="28"/>
          <w:szCs w:val="28"/>
        </w:rPr>
        <w:t>[201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9</w:t>
      </w:r>
      <w:r>
        <w:rPr>
          <w:rFonts w:asciiTheme="majorEastAsia" w:hAnsiTheme="majorEastAsia" w:eastAsiaTheme="majorEastAsia"/>
          <w:sz w:val="28"/>
          <w:szCs w:val="28"/>
        </w:rPr>
        <w:t>]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93</w:t>
      </w:r>
      <w:r>
        <w:rPr>
          <w:rFonts w:asciiTheme="majorEastAsia" w:hAnsiTheme="majorEastAsia" w:eastAsiaTheme="majorEastAsia"/>
          <w:sz w:val="28"/>
          <w:szCs w:val="28"/>
        </w:rPr>
        <w:t>号</w:t>
      </w:r>
      <w:r>
        <w:rPr>
          <w:rFonts w:hint="eastAsia" w:asciiTheme="majorEastAsia" w:hAnsiTheme="majorEastAsia" w:eastAsiaTheme="majorEastAsia"/>
          <w:sz w:val="28"/>
          <w:szCs w:val="28"/>
        </w:rPr>
        <w:t>）</w:t>
      </w:r>
      <w:r>
        <w:rPr>
          <w:rFonts w:asciiTheme="majorEastAsia" w:hAnsiTheme="majorEastAsia" w:eastAsiaTheme="majorEastAsia"/>
          <w:sz w:val="28"/>
          <w:szCs w:val="28"/>
        </w:rPr>
        <w:t>。山东聊和环保科技有限公司</w:t>
      </w:r>
      <w:r>
        <w:rPr>
          <w:rFonts w:hint="eastAsia" w:asciiTheme="majorEastAsia" w:hAnsiTheme="majorEastAsia" w:eastAsiaTheme="majorEastAsia"/>
          <w:sz w:val="28"/>
          <w:szCs w:val="28"/>
        </w:rPr>
        <w:t>受公司</w:t>
      </w:r>
      <w:r>
        <w:rPr>
          <w:rFonts w:asciiTheme="majorEastAsia" w:hAnsiTheme="majorEastAsia" w:eastAsiaTheme="majorEastAsia"/>
          <w:sz w:val="28"/>
          <w:szCs w:val="28"/>
        </w:rPr>
        <w:t>委托进行该项目的环保验收监测，并于2019年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5</w:t>
      </w:r>
      <w:r>
        <w:rPr>
          <w:rFonts w:asciiTheme="majorEastAsia" w:hAnsiTheme="majorEastAsia" w:eastAsia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8</w:t>
      </w:r>
      <w:r>
        <w:rPr>
          <w:rFonts w:asciiTheme="majorEastAsia" w:hAnsiTheme="majorEastAsia" w:eastAsiaTheme="majorEastAsia"/>
          <w:sz w:val="28"/>
          <w:szCs w:val="28"/>
        </w:rPr>
        <w:t>日</w:t>
      </w:r>
      <w:r>
        <w:rPr>
          <w:rFonts w:hint="eastAsia" w:asciiTheme="majorEastAsia" w:hAnsiTheme="majorEastAsia" w:eastAsiaTheme="majorEastAsia"/>
          <w:sz w:val="28"/>
          <w:szCs w:val="28"/>
        </w:rPr>
        <w:t>—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5</w:t>
      </w:r>
      <w:r>
        <w:rPr>
          <w:rFonts w:asciiTheme="majorEastAsia" w:hAnsiTheme="majorEastAsia" w:eastAsia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9</w:t>
      </w:r>
      <w:r>
        <w:rPr>
          <w:rFonts w:asciiTheme="majorEastAsia" w:hAnsiTheme="majorEastAsia" w:eastAsiaTheme="majorEastAsia"/>
          <w:sz w:val="28"/>
          <w:szCs w:val="28"/>
        </w:rPr>
        <w:t>日对</w:t>
      </w:r>
      <w:r>
        <w:rPr>
          <w:rFonts w:hint="eastAsia" w:asciiTheme="majorEastAsia" w:hAnsiTheme="majorEastAsia" w:eastAsiaTheme="majorEastAsia"/>
          <w:sz w:val="28"/>
          <w:szCs w:val="28"/>
        </w:rPr>
        <w:t>该项目</w:t>
      </w:r>
      <w:r>
        <w:rPr>
          <w:rFonts w:asciiTheme="majorEastAsia" w:hAnsiTheme="majorEastAsia" w:eastAsiaTheme="majorEastAsia"/>
          <w:sz w:val="28"/>
          <w:szCs w:val="28"/>
        </w:rPr>
        <w:t>进行了监测，根据验收监测结果和现场检查情况编制了本验收监测报告。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（三）投资情况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sz w:val="28"/>
          <w:szCs w:val="28"/>
        </w:rPr>
        <w:t>实际总投资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700</w:t>
      </w:r>
      <w:r>
        <w:rPr>
          <w:rFonts w:asciiTheme="majorEastAsia" w:hAnsiTheme="majorEastAsia" w:eastAsiaTheme="majorEastAsia"/>
          <w:sz w:val="28"/>
          <w:szCs w:val="28"/>
        </w:rPr>
        <w:t>万元，其中环保投资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12</w:t>
      </w:r>
      <w:r>
        <w:rPr>
          <w:rFonts w:asciiTheme="majorEastAsia" w:hAnsiTheme="majorEastAsia" w:eastAsiaTheme="majorEastAsia"/>
          <w:sz w:val="28"/>
          <w:szCs w:val="28"/>
        </w:rPr>
        <w:t>万元。占总投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1.71</w:t>
      </w:r>
      <w:r>
        <w:rPr>
          <w:rFonts w:asciiTheme="majorEastAsia" w:hAnsiTheme="majorEastAsia" w:eastAsiaTheme="majorEastAsia"/>
          <w:sz w:val="28"/>
          <w:szCs w:val="28"/>
        </w:rPr>
        <w:t>％。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（四）验收范围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年产50吨软管油压管路金属组件</w:t>
      </w:r>
      <w:r>
        <w:rPr>
          <w:rFonts w:asciiTheme="majorEastAsia" w:hAnsiTheme="majorEastAsia" w:eastAsiaTheme="majorEastAsia"/>
          <w:sz w:val="28"/>
          <w:szCs w:val="28"/>
        </w:rPr>
        <w:t>及其配套环保设施。</w:t>
      </w:r>
    </w:p>
    <w:p>
      <w:pPr>
        <w:spacing w:line="360" w:lineRule="auto"/>
        <w:ind w:firstLine="562" w:firstLineChars="200"/>
        <w:jc w:val="left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asciiTheme="majorEastAsia" w:hAnsiTheme="majorEastAsia" w:eastAsiaTheme="majorEastAsia"/>
          <w:b/>
          <w:sz w:val="28"/>
          <w:szCs w:val="28"/>
        </w:rPr>
        <w:t>二、工程变更情况</w:t>
      </w:r>
    </w:p>
    <w:p>
      <w:pPr>
        <w:pStyle w:val="2"/>
        <w:spacing w:line="360" w:lineRule="auto"/>
        <w:ind w:firstLine="480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项目变动情况详见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下表</w:t>
      </w:r>
      <w:r>
        <w:rPr>
          <w:rFonts w:hint="default" w:ascii="Times New Roman" w:hAnsi="Times New Roman" w:eastAsia="宋体" w:cs="Times New Roman"/>
          <w:sz w:val="28"/>
          <w:szCs w:val="28"/>
        </w:rPr>
        <w:t>。</w:t>
      </w:r>
    </w:p>
    <w:p>
      <w:pPr>
        <w:pStyle w:val="2"/>
        <w:spacing w:line="360" w:lineRule="auto"/>
        <w:ind w:firstLine="482"/>
        <w:jc w:val="center"/>
        <w:rPr>
          <w:rFonts w:hint="default" w:ascii="Times New Roman" w:hAnsi="Times New Roman" w:eastAsia="宋体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项目变动情况一览表</w:t>
      </w:r>
    </w:p>
    <w:tbl>
      <w:tblPr>
        <w:tblStyle w:val="10"/>
        <w:tblW w:w="961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14"/>
        <w:gridCol w:w="2808"/>
        <w:gridCol w:w="34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3314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环评批复情况</w:t>
            </w:r>
          </w:p>
        </w:tc>
        <w:tc>
          <w:tcPr>
            <w:tcW w:w="2808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实际建设情况</w:t>
            </w:r>
          </w:p>
        </w:tc>
        <w:tc>
          <w:tcPr>
            <w:tcW w:w="3496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314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切割粉尘和焊接烟尘均经过移动式烟尘净化器处理后无组织排放</w:t>
            </w:r>
          </w:p>
        </w:tc>
        <w:tc>
          <w:tcPr>
            <w:tcW w:w="2808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焊接烟尘经过移动式烟尘净化器处理后无组织排放；切割粉尘经集气罩收集后通过脉冲布袋除尘器处理后通过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15米高排气筒有组织排放</w:t>
            </w:r>
          </w:p>
        </w:tc>
        <w:tc>
          <w:tcPr>
            <w:tcW w:w="3496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属于环保设施升级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314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无氩弧焊机</w:t>
            </w:r>
          </w:p>
        </w:tc>
        <w:tc>
          <w:tcPr>
            <w:tcW w:w="2808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新增一台氩弧焊机</w:t>
            </w:r>
          </w:p>
        </w:tc>
        <w:tc>
          <w:tcPr>
            <w:tcW w:w="3496" w:type="dxa"/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作为备用，不涉及产能，不增加产污</w:t>
            </w:r>
          </w:p>
        </w:tc>
      </w:tr>
    </w:tbl>
    <w:p>
      <w:pPr>
        <w:spacing w:line="360" w:lineRule="auto"/>
        <w:ind w:firstLine="560" w:firstLineChars="200"/>
        <w:jc w:val="left"/>
        <w:rPr>
          <w:rFonts w:hint="default" w:ascii="Times New Roman" w:hAnsi="Times New Roman" w:eastAsia="宋体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</w:rPr>
        <w:t>结论：根据《关于印发环评管理中部分行业建设项目重大变动清单的通知》环办[2015]52号，以上变动不属于重大变更。</w:t>
      </w:r>
    </w:p>
    <w:p>
      <w:pPr>
        <w:spacing w:line="360" w:lineRule="auto"/>
        <w:ind w:firstLine="562" w:firstLineChars="200"/>
        <w:jc w:val="left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asciiTheme="majorEastAsia" w:hAnsiTheme="majorEastAsia" w:eastAsiaTheme="majorEastAsia"/>
          <w:b/>
          <w:sz w:val="28"/>
          <w:szCs w:val="28"/>
        </w:rPr>
        <w:t>三、环境保护设施落实情况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（一）废水</w:t>
      </w:r>
    </w:p>
    <w:p>
      <w:pPr>
        <w:tabs>
          <w:tab w:val="left" w:pos="360"/>
        </w:tabs>
        <w:spacing w:line="360" w:lineRule="auto"/>
        <w:ind w:firstLine="420" w:firstLineChars="150"/>
        <w:jc w:val="left"/>
        <w:rPr>
          <w:rFonts w:hint="default" w:asciiTheme="majorEastAsia" w:hAnsiTheme="majorEastAsia" w:eastAsiaTheme="majorEastAsia"/>
          <w:b w:val="0"/>
          <w:bCs/>
          <w:sz w:val="28"/>
          <w:szCs w:val="28"/>
        </w:rPr>
      </w:pPr>
      <w:r>
        <w:rPr>
          <w:rFonts w:hint="default" w:asciiTheme="majorEastAsia" w:hAnsiTheme="majorEastAsia" w:eastAsiaTheme="majorEastAsia"/>
          <w:b w:val="0"/>
          <w:bCs/>
          <w:sz w:val="28"/>
          <w:szCs w:val="28"/>
        </w:rPr>
        <w:t>项目无生产废水产生，废水主要为生活污水，生活污水排入市政污水管网，最后进入</w:t>
      </w:r>
      <w:r>
        <w:rPr>
          <w:rFonts w:hint="default" w:asciiTheme="majorEastAsia" w:hAnsiTheme="majorEastAsia" w:eastAsiaTheme="majorEastAsia"/>
          <w:b w:val="0"/>
          <w:bCs/>
          <w:sz w:val="28"/>
          <w:szCs w:val="28"/>
          <w:lang w:eastAsia="zh-CN"/>
        </w:rPr>
        <w:t>宁津县嘉诚水质净化有限公司</w:t>
      </w:r>
      <w:r>
        <w:rPr>
          <w:rFonts w:hint="default" w:asciiTheme="majorEastAsia" w:hAnsiTheme="majorEastAsia" w:eastAsiaTheme="majorEastAsia"/>
          <w:b w:val="0"/>
          <w:bCs/>
          <w:sz w:val="28"/>
          <w:szCs w:val="28"/>
        </w:rPr>
        <w:t>处理后达标外排。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（二）废气</w:t>
      </w:r>
    </w:p>
    <w:p>
      <w:pPr>
        <w:widowControl/>
        <w:adjustRightInd w:val="0"/>
        <w:snapToGrid w:val="0"/>
        <w:spacing w:line="360" w:lineRule="auto"/>
        <w:ind w:firstLine="560" w:firstLineChars="200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项目主要分为有组织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粉尘</w:t>
      </w:r>
      <w:r>
        <w:rPr>
          <w:rFonts w:hint="default" w:ascii="Times New Roman" w:hAnsi="Times New Roman" w:eastAsia="宋体" w:cs="Times New Roman"/>
          <w:sz w:val="28"/>
          <w:szCs w:val="28"/>
        </w:rPr>
        <w:t>和无组织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粉尘</w:t>
      </w:r>
      <w:r>
        <w:rPr>
          <w:rFonts w:hint="default" w:ascii="Times New Roman" w:hAnsi="Times New Roman" w:eastAsia="宋体" w:cs="Times New Roman"/>
          <w:sz w:val="28"/>
          <w:szCs w:val="28"/>
        </w:rPr>
        <w:t>。</w:t>
      </w:r>
    </w:p>
    <w:p>
      <w:pPr>
        <w:widowControl/>
        <w:adjustRightInd w:val="0"/>
        <w:snapToGrid w:val="0"/>
        <w:spacing w:line="360" w:lineRule="auto"/>
        <w:ind w:firstLine="560" w:firstLineChars="200"/>
        <w:rPr>
          <w:rFonts w:hint="default" w:ascii="Times New Roman" w:hAnsi="Times New Roman" w:eastAsia="宋体" w:cs="Times New Roman"/>
          <w:color w:val="FF0000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有组织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粉尘</w:t>
      </w:r>
      <w:r>
        <w:rPr>
          <w:rFonts w:hint="default" w:ascii="Times New Roman" w:hAnsi="Times New Roman" w:eastAsia="宋体" w:cs="Times New Roman"/>
          <w:sz w:val="28"/>
          <w:szCs w:val="28"/>
        </w:rPr>
        <w:t>主要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为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钢管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切割过程产生的切割粉尘</w:t>
      </w:r>
      <w:r>
        <w:rPr>
          <w:rFonts w:hint="default" w:ascii="Times New Roman" w:hAnsi="Times New Roman" w:eastAsia="宋体" w:cs="Times New Roman"/>
          <w:sz w:val="28"/>
          <w:szCs w:val="28"/>
        </w:rPr>
        <w:t>，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</w:rPr>
        <w:t>经集气罩收集后并引入</w:t>
      </w:r>
      <w:r>
        <w:rPr>
          <w:rFonts w:hint="eastAsia" w:ascii="Times New Roman" w:hAnsi="Times New Roman" w:eastAsia="宋体" w:cs="Times New Roman"/>
          <w:color w:val="000000"/>
          <w:sz w:val="28"/>
          <w:szCs w:val="28"/>
          <w:lang w:eastAsia="zh-CN"/>
        </w:rPr>
        <w:t>脉冲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  <w:lang w:eastAsia="zh-CN"/>
        </w:rPr>
        <w:t>布袋除尘器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</w:rPr>
        <w:t>处理后，通过一根15m高排气筒有组织排放。</w:t>
      </w:r>
    </w:p>
    <w:p>
      <w:pPr>
        <w:tabs>
          <w:tab w:val="left" w:pos="360"/>
        </w:tabs>
        <w:spacing w:line="360" w:lineRule="auto"/>
        <w:ind w:firstLine="420" w:firstLineChars="150"/>
        <w:jc w:val="left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项目无组织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粉尘</w:t>
      </w:r>
      <w:r>
        <w:rPr>
          <w:rFonts w:hint="default" w:ascii="Times New Roman" w:hAnsi="Times New Roman" w:eastAsia="宋体" w:cs="Times New Roman"/>
          <w:sz w:val="28"/>
          <w:szCs w:val="28"/>
        </w:rPr>
        <w:t>主要为生产车间集气罩未能收集的废气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以及焊接过程产生的焊接烟尘</w:t>
      </w:r>
      <w:r>
        <w:rPr>
          <w:rFonts w:hint="default" w:ascii="Times New Roman" w:hAnsi="Times New Roman" w:eastAsia="宋体" w:cs="Times New Roman"/>
          <w:sz w:val="28"/>
          <w:szCs w:val="28"/>
        </w:rPr>
        <w:t>，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焊接过程产生的焊接烟尘经移动式焊接烟尘净化器处理后以</w:t>
      </w:r>
      <w:r>
        <w:rPr>
          <w:rFonts w:hint="default" w:ascii="Times New Roman" w:hAnsi="Times New Roman" w:eastAsia="宋体" w:cs="Times New Roman"/>
          <w:sz w:val="28"/>
          <w:szCs w:val="28"/>
        </w:rPr>
        <w:t>无组织的形式排放。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（三）噪声</w:t>
      </w:r>
    </w:p>
    <w:p>
      <w:pPr>
        <w:spacing w:line="360" w:lineRule="auto"/>
        <w:ind w:firstLine="560" w:firstLineChars="20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项目噪声源主要为</w:t>
      </w: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二保焊机、折弯机和切割机</w:t>
      </w:r>
      <w:r>
        <w:rPr>
          <w:rFonts w:hint="eastAsia" w:asciiTheme="majorEastAsia" w:hAnsiTheme="majorEastAsia" w:eastAsiaTheme="majorEastAsia"/>
          <w:sz w:val="28"/>
          <w:szCs w:val="28"/>
        </w:rPr>
        <w:t>等设备运行时产生的噪声，所有生产设备均设置于生产车间内，经过基础减振，再经过厂房隔声、距离衰减等措施降低对周围环境的影响。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（四）固体废物</w:t>
      </w:r>
    </w:p>
    <w:p>
      <w:pPr>
        <w:pStyle w:val="2"/>
        <w:spacing w:line="360" w:lineRule="auto"/>
        <w:ind w:firstLine="480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项目固废主要为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机加工过程产生的铁屑、下脚料，焊接过程产生的废焊丝，焊烟净化器收集的废焊渣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、布袋除尘器收尘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以及职工办公生活产生的生活垃圾</w:t>
      </w:r>
      <w:r>
        <w:rPr>
          <w:rFonts w:hint="default" w:ascii="Times New Roman" w:hAnsi="Times New Roman" w:eastAsia="宋体" w:cs="Times New Roman"/>
          <w:sz w:val="28"/>
          <w:szCs w:val="28"/>
        </w:rPr>
        <w:t>。</w:t>
      </w:r>
    </w:p>
    <w:p>
      <w:pPr>
        <w:pStyle w:val="2"/>
        <w:spacing w:line="360" w:lineRule="auto"/>
        <w:ind w:firstLine="480"/>
        <w:rPr>
          <w:rFonts w:hint="default" w:ascii="Times New Roman" w:hAnsi="Times New Roman" w:eastAsia="宋体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（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）铁屑、下脚料</w:t>
      </w:r>
    </w:p>
    <w:p>
      <w:pPr>
        <w:pStyle w:val="2"/>
        <w:spacing w:line="360" w:lineRule="auto"/>
        <w:ind w:firstLine="480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项目机加工过程产生的铁屑、下脚料经收集后外售物资公司回收利用</w:t>
      </w:r>
      <w:r>
        <w:rPr>
          <w:rFonts w:hint="default" w:ascii="Times New Roman" w:hAnsi="Times New Roman" w:eastAsia="宋体" w:cs="Times New Roman"/>
          <w:sz w:val="28"/>
          <w:szCs w:val="28"/>
        </w:rPr>
        <w:t>；</w:t>
      </w:r>
    </w:p>
    <w:p>
      <w:pPr>
        <w:pStyle w:val="2"/>
        <w:numPr>
          <w:ilvl w:val="0"/>
          <w:numId w:val="0"/>
        </w:numPr>
        <w:spacing w:line="360" w:lineRule="auto"/>
        <w:ind w:firstLine="560" w:firstLineChars="200"/>
        <w:rPr>
          <w:rFonts w:hint="default" w:ascii="Times New Roman" w:hAnsi="Times New Roman" w:eastAsia="宋体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（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）废焊丝、焊渣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及布袋除尘器收尘</w:t>
      </w:r>
    </w:p>
    <w:p>
      <w:pPr>
        <w:pStyle w:val="2"/>
        <w:spacing w:line="360" w:lineRule="auto"/>
        <w:ind w:firstLine="480" w:firstLineChars="0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焊接过程产生的废焊丝和焊渣</w:t>
      </w:r>
      <w:r>
        <w:rPr>
          <w:rFonts w:hint="default" w:ascii="Times New Roman" w:hAnsi="Times New Roman" w:eastAsia="宋体" w:cs="Times New Roman"/>
          <w:sz w:val="28"/>
          <w:szCs w:val="28"/>
        </w:rPr>
        <w:t>，收集后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外售物资公司回收利用</w:t>
      </w:r>
      <w:r>
        <w:rPr>
          <w:rFonts w:hint="default" w:ascii="Times New Roman" w:hAnsi="Times New Roman" w:eastAsia="宋体" w:cs="Times New Roman"/>
          <w:sz w:val="28"/>
          <w:szCs w:val="28"/>
        </w:rPr>
        <w:t>；</w:t>
      </w:r>
    </w:p>
    <w:p>
      <w:pPr>
        <w:pStyle w:val="2"/>
        <w:numPr>
          <w:ilvl w:val="0"/>
          <w:numId w:val="0"/>
        </w:numPr>
        <w:spacing w:line="360" w:lineRule="auto"/>
        <w:ind w:leftChars="200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（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）</w:t>
      </w:r>
      <w:r>
        <w:rPr>
          <w:rFonts w:hint="default" w:ascii="Times New Roman" w:hAnsi="Times New Roman" w:eastAsia="宋体" w:cs="Times New Roman"/>
          <w:sz w:val="28"/>
          <w:szCs w:val="28"/>
        </w:rPr>
        <w:t>员工办公生活垃圾</w:t>
      </w:r>
    </w:p>
    <w:p>
      <w:pPr>
        <w:pStyle w:val="2"/>
        <w:numPr>
          <w:ilvl w:val="0"/>
          <w:numId w:val="0"/>
        </w:numPr>
        <w:spacing w:line="360" w:lineRule="auto"/>
        <w:ind w:leftChars="200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项目新增员工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3人，办公生活产生的生活垃圾经收集后交由环卫部门统一清运处理。</w:t>
      </w:r>
    </w:p>
    <w:p>
      <w:pPr>
        <w:spacing w:line="360" w:lineRule="auto"/>
        <w:ind w:firstLine="562" w:firstLineChars="200"/>
        <w:jc w:val="left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asciiTheme="majorEastAsia" w:hAnsiTheme="majorEastAsia" w:eastAsiaTheme="majorEastAsia"/>
          <w:b/>
          <w:sz w:val="28"/>
          <w:szCs w:val="28"/>
        </w:rPr>
        <w:t>四、验收监测结果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（一）环保设施运行检测结果</w:t>
      </w:r>
    </w:p>
    <w:p>
      <w:pPr>
        <w:widowControl/>
        <w:spacing w:line="360" w:lineRule="auto"/>
        <w:ind w:firstLine="560" w:firstLineChars="20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sz w:val="28"/>
          <w:szCs w:val="28"/>
        </w:rPr>
        <w:t>山东聊和环保科技有限公司出具的《</w:t>
      </w: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山东宁美软管有限公司年产50吨软管组件项目</w:t>
      </w:r>
      <w:r>
        <w:rPr>
          <w:rFonts w:asciiTheme="majorEastAsia" w:hAnsiTheme="majorEastAsia" w:eastAsiaTheme="majorEastAsia"/>
          <w:sz w:val="28"/>
          <w:szCs w:val="28"/>
        </w:rPr>
        <w:t>竣工环境保护验收监测报告》监测结果表明：</w:t>
      </w:r>
    </w:p>
    <w:p>
      <w:pPr>
        <w:spacing w:line="360" w:lineRule="auto"/>
        <w:ind w:left="141" w:leftChars="67" w:firstLine="697" w:firstLineChars="249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1.</w:t>
      </w:r>
      <w:r>
        <w:rPr>
          <w:rFonts w:asciiTheme="majorEastAsia" w:hAnsiTheme="majorEastAsia" w:eastAsiaTheme="majorEastAsia"/>
          <w:sz w:val="28"/>
          <w:szCs w:val="28"/>
        </w:rPr>
        <w:t>废气</w:t>
      </w:r>
    </w:p>
    <w:p>
      <w:pPr>
        <w:tabs>
          <w:tab w:val="left" w:pos="6810"/>
        </w:tabs>
        <w:spacing w:line="360" w:lineRule="auto"/>
        <w:ind w:firstLine="560" w:firstLineChars="200"/>
        <w:jc w:val="both"/>
        <w:rPr>
          <w:rFonts w:hint="default" w:ascii="Times New Roman" w:hAnsi="Times New Roman" w:eastAsia="宋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验收监测期间，有组织废气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颗粒物</w:t>
      </w:r>
      <w:r>
        <w:rPr>
          <w:rFonts w:hint="default" w:ascii="Times New Roman" w:hAnsi="Times New Roman" w:eastAsia="宋体" w:cs="Times New Roman"/>
          <w:sz w:val="28"/>
          <w:szCs w:val="28"/>
        </w:rPr>
        <w:t>最大监测浓度及排放速率分别为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2.9</w:t>
      </w:r>
      <w:r>
        <w:rPr>
          <w:rFonts w:hint="default" w:ascii="Times New Roman" w:hAnsi="Times New Roman" w:eastAsia="宋体" w:cs="Times New Roman"/>
          <w:sz w:val="28"/>
          <w:szCs w:val="28"/>
        </w:rPr>
        <w:t>mg/m</w:t>
      </w:r>
      <w:r>
        <w:rPr>
          <w:rFonts w:hint="default" w:ascii="Times New Roman" w:hAnsi="Times New Roman" w:eastAsia="宋体" w:cs="Times New Roman"/>
          <w:sz w:val="28"/>
          <w:szCs w:val="28"/>
          <w:vertAlign w:val="superscript"/>
        </w:rPr>
        <w:t>3</w:t>
      </w:r>
      <w:r>
        <w:rPr>
          <w:rFonts w:hint="default" w:ascii="Times New Roman" w:hAnsi="Times New Roman" w:eastAsia="宋体" w:cs="Times New Roman"/>
          <w:sz w:val="28"/>
          <w:szCs w:val="28"/>
        </w:rPr>
        <w:t>、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  <w:lang w:val="en-US" w:eastAsia="zh-CN"/>
        </w:rPr>
        <w:t>0.015</w:t>
      </w:r>
      <w:r>
        <w:rPr>
          <w:rFonts w:hint="default" w:ascii="Times New Roman" w:hAnsi="Times New Roman" w:eastAsia="宋体" w:cs="Times New Roman"/>
          <w:sz w:val="28"/>
          <w:szCs w:val="28"/>
        </w:rPr>
        <w:t>kg/h，满足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《山东省区域性大气污染物综合排放标准》（DB37/2376-2013）表2“重点控制区”标准及</w:t>
      </w:r>
      <w:r>
        <w:rPr>
          <w:rFonts w:hint="default" w:ascii="Times New Roman" w:hAnsi="Times New Roman" w:eastAsia="宋体" w:cs="Times New Roman"/>
          <w:sz w:val="28"/>
          <w:szCs w:val="28"/>
          <w:lang w:val="zh-CN"/>
        </w:rPr>
        <w:t>《大气污染物综合排放标准》（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GB16297-1996</w:t>
      </w:r>
      <w:r>
        <w:rPr>
          <w:rFonts w:hint="default" w:ascii="Times New Roman" w:hAnsi="Times New Roman" w:eastAsia="宋体" w:cs="Times New Roman"/>
          <w:sz w:val="28"/>
          <w:szCs w:val="28"/>
          <w:lang w:val="zh-CN"/>
        </w:rPr>
        <w:t>）表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2排放速率限值要求</w:t>
      </w:r>
      <w:r>
        <w:rPr>
          <w:rFonts w:hint="default" w:ascii="Times New Roman" w:hAnsi="Times New Roman" w:eastAsia="宋体" w:cs="Times New Roman"/>
          <w:sz w:val="28"/>
          <w:szCs w:val="28"/>
        </w:rPr>
        <w:t>；无组织废气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颗粒物</w:t>
      </w:r>
      <w:r>
        <w:rPr>
          <w:rFonts w:hint="default" w:ascii="Times New Roman" w:hAnsi="Times New Roman" w:eastAsia="宋体" w:cs="Times New Roman"/>
          <w:sz w:val="28"/>
          <w:szCs w:val="28"/>
        </w:rPr>
        <w:t>厂界最大监测浓度为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  <w:lang w:val="en-US" w:eastAsia="zh-CN"/>
        </w:rPr>
        <w:t>0.395m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</w:rPr>
        <w:t>g/m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  <w:vertAlign w:val="superscript"/>
        </w:rPr>
        <w:t>3</w:t>
      </w:r>
      <w:r>
        <w:rPr>
          <w:rFonts w:hint="default" w:ascii="Times New Roman" w:hAnsi="Times New Roman" w:eastAsia="宋体" w:cs="Times New Roman"/>
          <w:color w:val="000000"/>
          <w:sz w:val="28"/>
          <w:szCs w:val="28"/>
        </w:rPr>
        <w:t>，</w:t>
      </w:r>
      <w:r>
        <w:rPr>
          <w:rFonts w:hint="default" w:ascii="Times New Roman" w:hAnsi="Times New Roman" w:eastAsia="宋体" w:cs="Times New Roman"/>
          <w:sz w:val="28"/>
          <w:szCs w:val="28"/>
        </w:rPr>
        <w:t>满足</w:t>
      </w:r>
      <w:r>
        <w:rPr>
          <w:rFonts w:hint="default" w:ascii="Times New Roman" w:hAnsi="Times New Roman" w:eastAsia="宋体" w:cs="Times New Roman"/>
          <w:sz w:val="28"/>
          <w:szCs w:val="28"/>
          <w:lang w:val="zh-CN"/>
        </w:rPr>
        <w:t>《大气污染物综合排放标准》（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GB16297-1996</w:t>
      </w:r>
      <w:r>
        <w:rPr>
          <w:rFonts w:hint="default" w:ascii="Times New Roman" w:hAnsi="Times New Roman" w:eastAsia="宋体" w:cs="Times New Roman"/>
          <w:sz w:val="28"/>
          <w:szCs w:val="28"/>
          <w:lang w:val="zh-CN"/>
        </w:rPr>
        <w:t>）表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2中无组织浓度限值要求</w:t>
      </w:r>
      <w:r>
        <w:rPr>
          <w:rFonts w:hint="default" w:ascii="Times New Roman" w:hAnsi="Times New Roman" w:eastAsia="宋体" w:cs="Times New Roman"/>
          <w:sz w:val="28"/>
          <w:szCs w:val="28"/>
        </w:rPr>
        <w:t>。</w:t>
      </w:r>
    </w:p>
    <w:p>
      <w:pPr>
        <w:numPr>
          <w:ilvl w:val="0"/>
          <w:numId w:val="0"/>
        </w:numPr>
        <w:tabs>
          <w:tab w:val="left" w:pos="6810"/>
        </w:tabs>
        <w:spacing w:line="360" w:lineRule="auto"/>
        <w:ind w:firstLine="560" w:firstLineChars="200"/>
        <w:jc w:val="left"/>
        <w:rPr>
          <w:rFonts w:hint="eastAsia" w:asciiTheme="majorEastAsia" w:hAnsiTheme="majorEastAsia" w:eastAsiaTheme="majorEastAsia"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2.</w:t>
      </w: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废水</w:t>
      </w:r>
    </w:p>
    <w:p>
      <w:pPr>
        <w:numPr>
          <w:ilvl w:val="0"/>
          <w:numId w:val="0"/>
        </w:numPr>
        <w:tabs>
          <w:tab w:val="left" w:pos="6810"/>
        </w:tabs>
        <w:spacing w:line="360" w:lineRule="auto"/>
        <w:ind w:firstLine="560" w:firstLineChars="200"/>
        <w:jc w:val="left"/>
        <w:rPr>
          <w:rFonts w:hint="eastAsia" w:asciiTheme="majorEastAsia" w:hAnsiTheme="majorEastAsia" w:eastAsiaTheme="majorEastAsia"/>
          <w:sz w:val="28"/>
          <w:szCs w:val="28"/>
          <w:lang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验收监测期间，废水pH范围在6.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24</w:t>
      </w:r>
      <w:r>
        <w:rPr>
          <w:rFonts w:hint="default" w:ascii="Times New Roman" w:hAnsi="Times New Roman" w:eastAsia="宋体" w:cs="Times New Roman"/>
          <w:sz w:val="28"/>
          <w:szCs w:val="28"/>
        </w:rPr>
        <w:t>-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6.54</w:t>
      </w:r>
      <w:r>
        <w:rPr>
          <w:rFonts w:hint="default" w:ascii="Times New Roman" w:hAnsi="Times New Roman" w:eastAsia="宋体" w:cs="Times New Roman"/>
          <w:sz w:val="28"/>
          <w:szCs w:val="28"/>
        </w:rPr>
        <w:t>，化学需氧量最高排放浓度为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153</w:t>
      </w:r>
      <w:r>
        <w:rPr>
          <w:rFonts w:hint="default" w:ascii="Times New Roman" w:hAnsi="Times New Roman" w:eastAsia="宋体" w:cs="Times New Roman"/>
          <w:sz w:val="28"/>
          <w:szCs w:val="28"/>
        </w:rPr>
        <w:t>mg/L，氨氮最高排放浓度为1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6.6</w:t>
      </w:r>
      <w:r>
        <w:rPr>
          <w:rFonts w:hint="default" w:ascii="Times New Roman" w:hAnsi="Times New Roman" w:eastAsia="宋体" w:cs="Times New Roman"/>
          <w:sz w:val="28"/>
          <w:szCs w:val="28"/>
        </w:rPr>
        <w:t>mg/L，悬浮物最高排放浓度为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69</w:t>
      </w:r>
      <w:r>
        <w:rPr>
          <w:rFonts w:hint="default" w:ascii="Times New Roman" w:hAnsi="Times New Roman" w:eastAsia="宋体" w:cs="Times New Roman"/>
          <w:sz w:val="28"/>
          <w:szCs w:val="28"/>
        </w:rPr>
        <w:t>mg/L，均满足</w:t>
      </w:r>
      <w:r>
        <w:rPr>
          <w:rFonts w:hint="default" w:ascii="Times New Roman" w:hAnsi="Times New Roman" w:eastAsia="宋体" w:cs="Times New Roman"/>
          <w:sz w:val="28"/>
          <w:szCs w:val="28"/>
          <w:lang w:val="zh-CN"/>
        </w:rPr>
        <w:t>《污水排入城镇下水道水质标准》（GB31962-2015）表1中A级标准及宁津县嘉诚水质净化有限公司进水水质要求。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3.</w:t>
      </w:r>
      <w:r>
        <w:rPr>
          <w:rFonts w:asciiTheme="majorEastAsia" w:hAnsiTheme="majorEastAsia" w:eastAsiaTheme="majorEastAsia"/>
          <w:sz w:val="28"/>
          <w:szCs w:val="28"/>
        </w:rPr>
        <w:t>噪声</w:t>
      </w:r>
    </w:p>
    <w:p>
      <w:pPr>
        <w:spacing w:line="360" w:lineRule="auto"/>
        <w:ind w:firstLine="560" w:firstLineChars="200"/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验收监测期间，各监测点位昼间噪声在59.0(dB)-62.0(dB)之间，夜间不生产，满足《工业企业厂界环境噪声排放标准》（GB12348－2008）中的2类标准限值。</w:t>
      </w:r>
    </w:p>
    <w:p>
      <w:pPr>
        <w:spacing w:line="360" w:lineRule="auto"/>
        <w:ind w:firstLine="560" w:firstLineChars="20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4</w:t>
      </w:r>
      <w:r>
        <w:rPr>
          <w:rFonts w:hint="eastAsia" w:asciiTheme="majorEastAsia" w:hAnsiTheme="majorEastAsia" w:eastAsiaTheme="majorEastAsia"/>
          <w:sz w:val="28"/>
          <w:szCs w:val="28"/>
        </w:rPr>
        <w:t>.</w:t>
      </w:r>
      <w:r>
        <w:rPr>
          <w:rFonts w:asciiTheme="majorEastAsia" w:hAnsiTheme="majorEastAsia" w:eastAsiaTheme="majorEastAsia"/>
          <w:sz w:val="28"/>
          <w:szCs w:val="28"/>
        </w:rPr>
        <w:t>固体废物</w:t>
      </w:r>
    </w:p>
    <w:p>
      <w:pPr>
        <w:spacing w:line="360" w:lineRule="auto"/>
        <w:ind w:firstLine="560" w:firstLineChars="200"/>
        <w:rPr>
          <w:rFonts w:asciiTheme="majorEastAsia" w:hAnsiTheme="majorEastAsia" w:eastAsiaTheme="majorEastAsia"/>
          <w:snapToGrid w:val="0"/>
          <w:kern w:val="0"/>
          <w:sz w:val="28"/>
          <w:szCs w:val="28"/>
        </w:rPr>
      </w:pPr>
      <w:r>
        <w:rPr>
          <w:rFonts w:hint="eastAsia" w:asciiTheme="majorEastAsia" w:hAnsiTheme="majorEastAsia" w:eastAsiaTheme="majorEastAsia"/>
          <w:snapToGrid w:val="0"/>
          <w:kern w:val="0"/>
          <w:sz w:val="28"/>
          <w:szCs w:val="28"/>
        </w:rPr>
        <w:t>见三、（四）款。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（二）环境管理调查</w:t>
      </w:r>
    </w:p>
    <w:p>
      <w:pPr>
        <w:spacing w:line="360" w:lineRule="auto"/>
        <w:ind w:firstLine="560" w:firstLineChars="200"/>
        <w:rPr>
          <w:rFonts w:asciiTheme="majorEastAsia" w:hAnsiTheme="majorEastAsia" w:eastAsiaTheme="maj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公司</w:t>
      </w:r>
      <w:r>
        <w:rPr>
          <w:rFonts w:asciiTheme="majorEastAsia" w:hAnsiTheme="majorEastAsia" w:eastAsiaTheme="majorEastAsia"/>
          <w:sz w:val="28"/>
          <w:szCs w:val="28"/>
        </w:rPr>
        <w:t>制定了《环保管理制度》，并设立了相关机构。日常工作由</w:t>
      </w:r>
      <w:r>
        <w:rPr>
          <w:rFonts w:hint="eastAsia" w:asciiTheme="majorEastAsia" w:hAnsiTheme="majorEastAsia" w:eastAsiaTheme="majorEastAsia"/>
          <w:sz w:val="28"/>
          <w:szCs w:val="28"/>
        </w:rPr>
        <w:t>办公室</w:t>
      </w:r>
      <w:r>
        <w:rPr>
          <w:rFonts w:asciiTheme="majorEastAsia" w:hAnsiTheme="majorEastAsia" w:eastAsiaTheme="majorEastAsia"/>
          <w:sz w:val="28"/>
          <w:szCs w:val="28"/>
        </w:rPr>
        <w:t>管理，行使公司环保工作组织、协调、检查和考核管理职能。</w:t>
      </w:r>
    </w:p>
    <w:p>
      <w:pPr>
        <w:spacing w:line="360" w:lineRule="auto"/>
        <w:ind w:firstLine="562" w:firstLineChars="200"/>
        <w:jc w:val="left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asciiTheme="majorEastAsia" w:hAnsiTheme="majorEastAsia" w:eastAsiaTheme="majorEastAsia"/>
          <w:b/>
          <w:sz w:val="28"/>
          <w:szCs w:val="28"/>
        </w:rPr>
        <w:t>五、验收结论</w:t>
      </w:r>
    </w:p>
    <w:p>
      <w:pPr>
        <w:spacing w:line="360" w:lineRule="auto"/>
        <w:ind w:firstLine="555"/>
        <w:rPr>
          <w:rFonts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sz w:val="28"/>
          <w:szCs w:val="28"/>
        </w:rPr>
        <w:t>该项目实施过程中按照环评及其批复要求落实了相关环保措施，建立了相应的环保管理制度，项目建设过程无重大变更。验收监测各项指标满足国家相关排放标准。</w:t>
      </w:r>
    </w:p>
    <w:p>
      <w:pPr>
        <w:tabs>
          <w:tab w:val="left" w:pos="5955"/>
          <w:tab w:val="left" w:pos="6095"/>
        </w:tabs>
        <w:spacing w:line="360" w:lineRule="auto"/>
        <w:ind w:firstLine="560" w:firstLineChars="20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sz w:val="28"/>
          <w:szCs w:val="28"/>
        </w:rPr>
        <w:t>鉴于项目符合国家和地方相关产业标准及准入要求，环保设施与生产配套，验收期间各项监测指标满足国家相关排放标准，该项目通过环保验收。</w:t>
      </w:r>
    </w:p>
    <w:p>
      <w:pPr>
        <w:spacing w:line="360" w:lineRule="auto"/>
        <w:ind w:firstLine="562" w:firstLineChars="200"/>
        <w:jc w:val="left"/>
        <w:rPr>
          <w:rFonts w:asciiTheme="majorEastAsia" w:hAnsiTheme="majorEastAsia" w:eastAsiaTheme="maj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Theme="majorEastAsia" w:hAnsiTheme="majorEastAsia" w:eastAsiaTheme="majorEastAsia"/>
          <w:b/>
          <w:sz w:val="28"/>
          <w:szCs w:val="28"/>
        </w:rPr>
        <w:t>六、</w:t>
      </w:r>
      <w:r>
        <w:rPr>
          <w:rFonts w:hint="eastAsia" w:asciiTheme="majorEastAsia" w:hAnsiTheme="majorEastAsia" w:eastAsiaTheme="majorEastAsia"/>
          <w:b/>
          <w:sz w:val="28"/>
          <w:szCs w:val="28"/>
        </w:rPr>
        <w:t>后续要求</w:t>
      </w:r>
    </w:p>
    <w:p>
      <w:pPr>
        <w:pStyle w:val="14"/>
        <w:spacing w:line="360" w:lineRule="auto"/>
        <w:ind w:firstLine="56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1、</w:t>
      </w: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集气罩下移或加设软帘，增大废气收集效率；</w:t>
      </w:r>
    </w:p>
    <w:p>
      <w:pPr>
        <w:pStyle w:val="14"/>
        <w:spacing w:line="360" w:lineRule="auto"/>
        <w:ind w:firstLine="560"/>
        <w:jc w:val="left"/>
        <w:rPr>
          <w:rFonts w:hint="eastAsia" w:asciiTheme="majorEastAsia" w:hAnsiTheme="majorEastAsia" w:eastAsiaTheme="majorEastAsia"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2、完善环保管理台账（参照HJ944—2018），确保粉尘净化设施稳定运行</w:t>
      </w: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；</w:t>
      </w:r>
    </w:p>
    <w:p>
      <w:pPr>
        <w:pStyle w:val="14"/>
        <w:spacing w:line="360" w:lineRule="auto"/>
        <w:ind w:firstLine="560"/>
        <w:jc w:val="left"/>
        <w:rPr>
          <w:rFonts w:hint="eastAsia" w:asciiTheme="majorEastAsia" w:hAnsiTheme="majorEastAsia" w:eastAsiaTheme="majorEastAsia"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3、</w:t>
      </w: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进一步加固采样爬梯，架设扶手、踏板，爬梯尽量有一定坡度；</w:t>
      </w:r>
    </w:p>
    <w:p>
      <w:pPr>
        <w:pStyle w:val="14"/>
        <w:spacing w:line="360" w:lineRule="auto"/>
        <w:ind w:firstLine="56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4、</w:t>
      </w:r>
      <w:r>
        <w:rPr>
          <w:rFonts w:asciiTheme="majorEastAsia" w:hAnsiTheme="majorEastAsia" w:eastAsiaTheme="majorEastAsia"/>
          <w:sz w:val="28"/>
          <w:szCs w:val="28"/>
        </w:rPr>
        <w:t>进一步规范验收监测报告编制内容。</w:t>
      </w:r>
    </w:p>
    <w:p>
      <w:pPr>
        <w:pStyle w:val="2"/>
        <w:ind w:firstLine="562"/>
        <w:rPr>
          <w:rFonts w:asciiTheme="majorEastAsia" w:hAnsiTheme="majorEastAsia" w:eastAsiaTheme="majorEastAsia"/>
          <w:b/>
        </w:rPr>
      </w:pPr>
      <w:r>
        <w:rPr>
          <w:rFonts w:hint="eastAsia" w:asciiTheme="majorEastAsia" w:hAnsiTheme="majorEastAsia" w:eastAsiaTheme="majorEastAsia"/>
          <w:b/>
        </w:rPr>
        <w:t>七、验收组名单</w:t>
      </w:r>
    </w:p>
    <w:p>
      <w:pPr>
        <w:pStyle w:val="2"/>
        <w:ind w:firstLine="560"/>
        <w:rPr>
          <w:rFonts w:asciiTheme="majorEastAsia" w:hAnsiTheme="majorEastAsia" w:eastAsiaTheme="majorEastAsia"/>
        </w:rPr>
      </w:pPr>
      <w:r>
        <w:rPr>
          <w:rFonts w:hint="eastAsia" w:asciiTheme="majorEastAsia" w:hAnsiTheme="majorEastAsia" w:eastAsiaTheme="majorEastAsia"/>
        </w:rPr>
        <w:t>见附件。</w:t>
      </w:r>
    </w:p>
    <w:p>
      <w:pPr>
        <w:pStyle w:val="2"/>
        <w:ind w:firstLine="560"/>
        <w:rPr>
          <w:rFonts w:hint="eastAsia" w:asciiTheme="majorEastAsia" w:hAnsiTheme="majorEastAsia" w:eastAsiaTheme="majorEastAsia"/>
        </w:rPr>
      </w:pPr>
    </w:p>
    <w:p>
      <w:pPr>
        <w:pStyle w:val="2"/>
        <w:ind w:firstLine="560"/>
        <w:rPr>
          <w:rFonts w:hint="eastAsia" w:asciiTheme="majorEastAsia" w:hAnsiTheme="majorEastAsia" w:eastAsiaTheme="majorEastAsia"/>
        </w:rPr>
      </w:pPr>
    </w:p>
    <w:p>
      <w:pPr>
        <w:pStyle w:val="2"/>
        <w:ind w:left="0" w:leftChars="0" w:firstLine="0" w:firstLineChars="0"/>
        <w:rPr>
          <w:rFonts w:asciiTheme="majorEastAsia" w:hAnsiTheme="majorEastAsia" w:eastAsiaTheme="majorEastAsia"/>
        </w:rPr>
      </w:pPr>
    </w:p>
    <w:p>
      <w:pPr>
        <w:pStyle w:val="2"/>
        <w:ind w:firstLine="560"/>
        <w:rPr>
          <w:rFonts w:asciiTheme="majorEastAsia" w:hAnsiTheme="majorEastAsia" w:eastAsiaTheme="majorEastAsia"/>
        </w:rPr>
      </w:pPr>
    </w:p>
    <w:p>
      <w:pPr>
        <w:spacing w:line="360" w:lineRule="auto"/>
        <w:jc w:val="right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山东宁美软管有限公司</w:t>
      </w:r>
      <w:r>
        <w:rPr>
          <w:rFonts w:asciiTheme="majorEastAsia" w:hAnsiTheme="majorEastAsia" w:eastAsiaTheme="majorEastAsia"/>
          <w:sz w:val="28"/>
          <w:szCs w:val="28"/>
        </w:rPr>
        <w:t>验收组</w:t>
      </w:r>
    </w:p>
    <w:p>
      <w:pPr>
        <w:spacing w:line="360" w:lineRule="auto"/>
        <w:jc w:val="right"/>
        <w:rPr>
          <w:rFonts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sz w:val="28"/>
          <w:szCs w:val="28"/>
        </w:rPr>
        <w:t xml:space="preserve">   201</w:t>
      </w:r>
      <w:r>
        <w:rPr>
          <w:rFonts w:hint="eastAsia" w:asciiTheme="majorEastAsia" w:hAnsiTheme="majorEastAsia" w:eastAsiaTheme="majorEastAsia"/>
          <w:sz w:val="28"/>
          <w:szCs w:val="28"/>
        </w:rPr>
        <w:t>9</w:t>
      </w:r>
      <w:r>
        <w:rPr>
          <w:rFonts w:asciiTheme="majorEastAsia" w:hAnsiTheme="majorEastAsia" w:eastAsia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6</w:t>
      </w:r>
      <w:r>
        <w:rPr>
          <w:rFonts w:asciiTheme="majorEastAsia" w:hAnsiTheme="majorEastAsia" w:eastAsia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/>
          <w:sz w:val="28"/>
          <w:szCs w:val="28"/>
          <w:lang w:val="en-US" w:eastAsia="zh-CN"/>
        </w:rPr>
        <w:t>15</w:t>
      </w:r>
      <w:r>
        <w:rPr>
          <w:rFonts w:asciiTheme="majorEastAsia" w:hAnsiTheme="majorEastAsia" w:eastAsiaTheme="majorEastAsia"/>
          <w:sz w:val="28"/>
          <w:szCs w:val="28"/>
        </w:rPr>
        <w:t>日</w:t>
      </w:r>
    </w:p>
    <w:p>
      <w:pPr>
        <w:pStyle w:val="2"/>
      </w:pPr>
    </w:p>
    <w:p>
      <w:pPr>
        <w:pStyle w:val="2"/>
        <w:ind w:left="0" w:leftChars="0" w:firstLine="0" w:firstLineChars="0"/>
        <w:rPr>
          <w:rFonts w:hint="eastAsia" w:asciiTheme="majorEastAsia" w:hAnsiTheme="majorEastAsia" w:eastAsiaTheme="majorEastAsia"/>
          <w:b w:val="0"/>
          <w:bCs w:val="0"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/>
          <w:b w:val="0"/>
          <w:bCs w:val="0"/>
          <w:sz w:val="28"/>
          <w:szCs w:val="28"/>
          <w:lang w:eastAsia="zh-CN"/>
        </w:rPr>
        <w:t>整改照片如下</w:t>
      </w:r>
      <w:bookmarkStart w:id="0" w:name="_GoBack"/>
      <w:bookmarkEnd w:id="0"/>
      <w:r>
        <w:rPr>
          <w:rFonts w:hint="eastAsia" w:asciiTheme="majorEastAsia" w:hAnsiTheme="majorEastAsia" w:eastAsiaTheme="majorEastAsia"/>
          <w:b w:val="0"/>
          <w:bCs w:val="0"/>
          <w:sz w:val="28"/>
          <w:szCs w:val="28"/>
          <w:lang w:eastAsia="zh-CN"/>
        </w:rPr>
        <w:t>：</w:t>
      </w:r>
    </w:p>
    <w:tbl>
      <w:tblPr>
        <w:tblStyle w:val="11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5341"/>
        <w:gridCol w:w="53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807" w:hRule="atLeast"/>
        </w:trPr>
        <w:tc>
          <w:tcPr>
            <w:tcW w:w="5341" w:type="dxa"/>
          </w:tcPr>
          <w:p>
            <w:pPr>
              <w:pStyle w:val="2"/>
              <w:ind w:left="0" w:leftChars="0" w:firstLine="0" w:firstLineChars="0"/>
              <w:rPr>
                <w:rFonts w:hint="eastAsia" w:asciiTheme="majorEastAsia" w:hAnsiTheme="majorEastAsia" w:eastAsiaTheme="maj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  <w:vertAlign w:val="baseline"/>
                <w:lang w:eastAsia="zh-CN"/>
              </w:rPr>
              <w:drawing>
                <wp:inline distT="0" distB="0" distL="114300" distR="114300">
                  <wp:extent cx="3251200" cy="4850130"/>
                  <wp:effectExtent l="0" t="0" r="6350" b="7620"/>
                  <wp:docPr id="2" name="图片 2" descr="f04d3ea3a51d8f38d1b8d62ebb9625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f04d3ea3a51d8f38d1b8d62ebb9625c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1200" cy="4850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41" w:type="dxa"/>
            <w:tcBorders/>
          </w:tcPr>
          <w:p>
            <w:pPr>
              <w:pStyle w:val="2"/>
              <w:ind w:left="0" w:leftChars="0" w:firstLine="0" w:firstLineChars="0"/>
              <w:rPr>
                <w:rFonts w:hint="eastAsia" w:asciiTheme="majorEastAsia" w:hAnsiTheme="majorEastAsia" w:eastAsiaTheme="maj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  <w:vertAlign w:val="baseline"/>
                <w:lang w:eastAsia="zh-CN"/>
              </w:rPr>
              <w:drawing>
                <wp:inline distT="0" distB="0" distL="114300" distR="114300">
                  <wp:extent cx="3250565" cy="4941570"/>
                  <wp:effectExtent l="0" t="0" r="6985" b="11430"/>
                  <wp:docPr id="3" name="图片 3" descr="6966e5a8e2155a7fdfcc90fec2f09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6966e5a8e2155a7fdfcc90fec2f097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0565" cy="4941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117" w:hRule="atLeast"/>
        </w:trPr>
        <w:tc>
          <w:tcPr>
            <w:tcW w:w="10682" w:type="dxa"/>
            <w:gridSpan w:val="2"/>
          </w:tcPr>
          <w:p>
            <w:pPr>
              <w:pStyle w:val="2"/>
              <w:ind w:left="0" w:leftChars="0" w:firstLine="0" w:firstLineChars="0"/>
              <w:rPr>
                <w:rFonts w:hint="eastAsia" w:asciiTheme="majorEastAsia" w:hAnsiTheme="majorEastAsia" w:eastAsiaTheme="maj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  <w:vertAlign w:val="baseline"/>
                <w:lang w:eastAsia="zh-CN"/>
              </w:rPr>
              <w:drawing>
                <wp:inline distT="0" distB="0" distL="114300" distR="114300">
                  <wp:extent cx="6638290" cy="3914775"/>
                  <wp:effectExtent l="0" t="0" r="10160" b="9525"/>
                  <wp:docPr id="4" name="图片 4" descr="0810d0dc86d507752ea80ec2f40db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0810d0dc86d507752ea80ec2f40db6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38290" cy="391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2"/>
        <w:ind w:left="0" w:leftChars="0" w:firstLine="0" w:firstLineChars="0"/>
        <w:rPr>
          <w:rFonts w:hint="eastAsia" w:asciiTheme="majorEastAsia" w:hAnsiTheme="majorEastAsia" w:eastAsiaTheme="majorEastAsia"/>
          <w:sz w:val="28"/>
          <w:szCs w:val="28"/>
          <w:lang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880"/>
    <w:rsid w:val="00071917"/>
    <w:rsid w:val="00084955"/>
    <w:rsid w:val="00143251"/>
    <w:rsid w:val="001A0880"/>
    <w:rsid w:val="002E1900"/>
    <w:rsid w:val="0043412A"/>
    <w:rsid w:val="00456A2F"/>
    <w:rsid w:val="004A6ED1"/>
    <w:rsid w:val="004B3592"/>
    <w:rsid w:val="0060420F"/>
    <w:rsid w:val="00BB6087"/>
    <w:rsid w:val="00E33CC9"/>
    <w:rsid w:val="00E37A97"/>
    <w:rsid w:val="01ED3F9D"/>
    <w:rsid w:val="06C81383"/>
    <w:rsid w:val="07A55512"/>
    <w:rsid w:val="090C6538"/>
    <w:rsid w:val="0B055D8B"/>
    <w:rsid w:val="0BB105F9"/>
    <w:rsid w:val="0BCD78E3"/>
    <w:rsid w:val="0BD4352F"/>
    <w:rsid w:val="0F726E3F"/>
    <w:rsid w:val="0FF7137B"/>
    <w:rsid w:val="13242E95"/>
    <w:rsid w:val="176C6CB9"/>
    <w:rsid w:val="18100048"/>
    <w:rsid w:val="18D05E89"/>
    <w:rsid w:val="19776944"/>
    <w:rsid w:val="19BD6A9B"/>
    <w:rsid w:val="1AAF6CA7"/>
    <w:rsid w:val="1AC51D10"/>
    <w:rsid w:val="1C327C96"/>
    <w:rsid w:val="1C9713D3"/>
    <w:rsid w:val="1E6E0F57"/>
    <w:rsid w:val="1EE323E5"/>
    <w:rsid w:val="22271ADE"/>
    <w:rsid w:val="22A72464"/>
    <w:rsid w:val="24A41C66"/>
    <w:rsid w:val="27420539"/>
    <w:rsid w:val="2A4101B1"/>
    <w:rsid w:val="2BFB35B9"/>
    <w:rsid w:val="2C2D0B50"/>
    <w:rsid w:val="30CB2781"/>
    <w:rsid w:val="31572BC2"/>
    <w:rsid w:val="33775C0A"/>
    <w:rsid w:val="33B2364B"/>
    <w:rsid w:val="3608178F"/>
    <w:rsid w:val="378F40F5"/>
    <w:rsid w:val="37C4153C"/>
    <w:rsid w:val="3800281E"/>
    <w:rsid w:val="38551EF2"/>
    <w:rsid w:val="3B2962D5"/>
    <w:rsid w:val="3FDD2C6F"/>
    <w:rsid w:val="4021784B"/>
    <w:rsid w:val="4120129E"/>
    <w:rsid w:val="42D02360"/>
    <w:rsid w:val="440B2C50"/>
    <w:rsid w:val="44801C86"/>
    <w:rsid w:val="45B12AB5"/>
    <w:rsid w:val="4848218B"/>
    <w:rsid w:val="4AA80130"/>
    <w:rsid w:val="4CAE592A"/>
    <w:rsid w:val="4EDF6355"/>
    <w:rsid w:val="4FF7026F"/>
    <w:rsid w:val="52082039"/>
    <w:rsid w:val="52300633"/>
    <w:rsid w:val="530F6F4C"/>
    <w:rsid w:val="547348A8"/>
    <w:rsid w:val="54A46E50"/>
    <w:rsid w:val="58310837"/>
    <w:rsid w:val="5AD75B85"/>
    <w:rsid w:val="5BC66C55"/>
    <w:rsid w:val="5F0C4CFF"/>
    <w:rsid w:val="614D2684"/>
    <w:rsid w:val="65826A80"/>
    <w:rsid w:val="65F40410"/>
    <w:rsid w:val="66FB5067"/>
    <w:rsid w:val="6A4209DB"/>
    <w:rsid w:val="6ABA50EB"/>
    <w:rsid w:val="6DEB0CC4"/>
    <w:rsid w:val="6DF43CEC"/>
    <w:rsid w:val="71544088"/>
    <w:rsid w:val="717B6F2E"/>
    <w:rsid w:val="72321631"/>
    <w:rsid w:val="732B48DD"/>
    <w:rsid w:val="759F5382"/>
    <w:rsid w:val="77314A22"/>
    <w:rsid w:val="77930543"/>
    <w:rsid w:val="79F74EBF"/>
    <w:rsid w:val="7F4274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li_正文"/>
    <w:basedOn w:val="1"/>
    <w:qFormat/>
    <w:uiPriority w:val="0"/>
    <w:pPr>
      <w:ind w:firstLine="200" w:firstLineChars="200"/>
      <w:jc w:val="left"/>
    </w:pPr>
    <w:rPr>
      <w:rFonts w:ascii="Calibri" w:hAnsi="Calibri"/>
      <w:sz w:val="28"/>
      <w:szCs w:val="28"/>
    </w:rPr>
  </w:style>
  <w:style w:type="paragraph" w:styleId="3">
    <w:name w:val="annotation text"/>
    <w:basedOn w:val="1"/>
    <w:link w:val="19"/>
    <w:semiHidden/>
    <w:unhideWhenUsed/>
    <w:qFormat/>
    <w:uiPriority w:val="99"/>
    <w:pPr>
      <w:jc w:val="left"/>
    </w:pPr>
  </w:style>
  <w:style w:type="paragraph" w:styleId="4">
    <w:name w:val="Block Text"/>
    <w:basedOn w:val="1"/>
    <w:semiHidden/>
    <w:unhideWhenUsed/>
    <w:qFormat/>
    <w:uiPriority w:val="99"/>
    <w:pPr>
      <w:ind w:left="525" w:leftChars="250" w:right="685" w:rightChars="326" w:firstLine="560"/>
    </w:pPr>
    <w:rPr>
      <w:sz w:val="28"/>
    </w:rPr>
  </w:style>
  <w:style w:type="paragraph" w:styleId="5">
    <w:name w:val="Plain Text"/>
    <w:basedOn w:val="1"/>
    <w:semiHidden/>
    <w:unhideWhenUsed/>
    <w:qFormat/>
    <w:uiPriority w:val="99"/>
    <w:rPr>
      <w:rFonts w:ascii="宋体" w:hAnsi="Courier New" w:cs="Courier New"/>
      <w:szCs w:val="21"/>
    </w:rPr>
  </w:style>
  <w:style w:type="paragraph" w:styleId="6">
    <w:name w:val="Balloon Text"/>
    <w:basedOn w:val="1"/>
    <w:link w:val="21"/>
    <w:qFormat/>
    <w:uiPriority w:val="0"/>
    <w:rPr>
      <w:sz w:val="18"/>
      <w:szCs w:val="18"/>
    </w:rPr>
  </w:style>
  <w:style w:type="paragraph" w:styleId="7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annotation subject"/>
    <w:basedOn w:val="3"/>
    <w:next w:val="3"/>
    <w:link w:val="20"/>
    <w:qFormat/>
    <w:uiPriority w:val="0"/>
    <w:rPr>
      <w:b/>
      <w:bCs/>
    </w:rPr>
  </w:style>
  <w:style w:type="table" w:styleId="11">
    <w:name w:val="Table Grid"/>
    <w:basedOn w:val="10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annotation reference"/>
    <w:basedOn w:val="12"/>
    <w:qFormat/>
    <w:uiPriority w:val="0"/>
    <w:rPr>
      <w:sz w:val="21"/>
      <w:szCs w:val="21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paragraph" w:customStyle="1" w:styleId="15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szCs w:val="22"/>
      <w:lang w:val="en-US" w:eastAsia="zh-CN" w:bidi="ar-SA"/>
    </w:rPr>
  </w:style>
  <w:style w:type="paragraph" w:customStyle="1" w:styleId="16">
    <w:name w:val="报告表正文"/>
    <w:basedOn w:val="1"/>
    <w:qFormat/>
    <w:uiPriority w:val="0"/>
    <w:pPr>
      <w:tabs>
        <w:tab w:val="left" w:pos="7560"/>
      </w:tabs>
      <w:adjustRightInd w:val="0"/>
      <w:spacing w:line="360" w:lineRule="auto"/>
      <w:ind w:firstLine="480" w:firstLineChars="200"/>
    </w:pPr>
    <w:rPr>
      <w:bCs/>
      <w:sz w:val="24"/>
    </w:rPr>
  </w:style>
  <w:style w:type="character" w:customStyle="1" w:styleId="17">
    <w:name w:val="页眉 Char"/>
    <w:basedOn w:val="12"/>
    <w:link w:val="8"/>
    <w:qFormat/>
    <w:uiPriority w:val="0"/>
    <w:rPr>
      <w:kern w:val="2"/>
      <w:sz w:val="18"/>
      <w:szCs w:val="18"/>
    </w:rPr>
  </w:style>
  <w:style w:type="character" w:customStyle="1" w:styleId="18">
    <w:name w:val="页脚 Char"/>
    <w:basedOn w:val="12"/>
    <w:link w:val="7"/>
    <w:qFormat/>
    <w:uiPriority w:val="0"/>
    <w:rPr>
      <w:kern w:val="2"/>
      <w:sz w:val="18"/>
      <w:szCs w:val="18"/>
    </w:rPr>
  </w:style>
  <w:style w:type="character" w:customStyle="1" w:styleId="19">
    <w:name w:val="批注文字 Char"/>
    <w:basedOn w:val="12"/>
    <w:link w:val="3"/>
    <w:semiHidden/>
    <w:qFormat/>
    <w:uiPriority w:val="99"/>
    <w:rPr>
      <w:kern w:val="2"/>
      <w:sz w:val="21"/>
      <w:szCs w:val="24"/>
    </w:rPr>
  </w:style>
  <w:style w:type="character" w:customStyle="1" w:styleId="20">
    <w:name w:val="批注主题 Char"/>
    <w:basedOn w:val="19"/>
    <w:link w:val="9"/>
    <w:qFormat/>
    <w:uiPriority w:val="0"/>
  </w:style>
  <w:style w:type="character" w:customStyle="1" w:styleId="21">
    <w:name w:val="批注框文本 Char"/>
    <w:basedOn w:val="12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1190</Words>
  <Characters>1250</Characters>
  <Lines>52</Lines>
  <Paragraphs>58</Paragraphs>
  <TotalTime>12</TotalTime>
  <ScaleCrop>false</ScaleCrop>
  <LinksUpToDate>false</LinksUpToDate>
  <CharactersWithSpaces>2382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不知不觉。1425094391</cp:lastModifiedBy>
  <dcterms:modified xsi:type="dcterms:W3CDTF">2019-07-06T02:32:38Z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