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ind w:left="298" w:leftChars="142"/>
        <w:jc w:val="center"/>
        <w:rPr>
          <w:rFonts w:hint="default" w:ascii="Times New Roman" w:hAnsi="Times New Roman" w:cs="Times New Roman" w:eastAsiaTheme="majorEastAsia"/>
          <w:b/>
          <w:sz w:val="28"/>
          <w:szCs w:val="28"/>
          <w:lang w:eastAsia="zh-CN"/>
        </w:rPr>
      </w:pPr>
      <w:r>
        <w:rPr>
          <w:rFonts w:hint="default" w:ascii="Times New Roman" w:hAnsi="Times New Roman" w:cs="Times New Roman" w:eastAsiaTheme="majorEastAsia"/>
          <w:b/>
          <w:sz w:val="28"/>
          <w:szCs w:val="28"/>
          <w:lang w:eastAsia="zh-CN"/>
        </w:rPr>
        <w:t>莘县蓝火新能源科技有限公司年产30万吨洁净型煤项目（二期6万吨）</w:t>
      </w:r>
    </w:p>
    <w:p>
      <w:pPr>
        <w:tabs>
          <w:tab w:val="left" w:pos="360"/>
        </w:tabs>
        <w:spacing w:line="360" w:lineRule="auto"/>
        <w:ind w:left="298" w:leftChars="142"/>
        <w:jc w:val="center"/>
        <w:rPr>
          <w:rFonts w:hint="default" w:ascii="Times New Roman" w:hAnsi="Times New Roman" w:cs="Times New Roman" w:eastAsiaTheme="majorEastAsia"/>
          <w:b/>
          <w:sz w:val="30"/>
          <w:szCs w:val="30"/>
        </w:rPr>
      </w:pPr>
      <w:r>
        <w:rPr>
          <w:rFonts w:hint="default" w:ascii="Times New Roman" w:hAnsi="Times New Roman" w:cs="Times New Roman" w:eastAsiaTheme="majorEastAsia"/>
          <w:b/>
          <w:sz w:val="28"/>
          <w:szCs w:val="28"/>
        </w:rPr>
        <w:t>竣工环境保护验收现场检查及验收工作组验收意见</w:t>
      </w:r>
    </w:p>
    <w:p>
      <w:pPr>
        <w:tabs>
          <w:tab w:val="left" w:pos="360"/>
        </w:tabs>
        <w:spacing w:line="360" w:lineRule="auto"/>
        <w:ind w:left="298" w:leftChars="142"/>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b/>
          <w:sz w:val="30"/>
          <w:szCs w:val="30"/>
        </w:rPr>
        <w:t xml:space="preserve">    </w:t>
      </w:r>
      <w:r>
        <w:rPr>
          <w:rFonts w:hint="default" w:ascii="Times New Roman" w:hAnsi="Times New Roman" w:cs="Times New Roman" w:eastAsiaTheme="majorEastAsia"/>
          <w:sz w:val="28"/>
          <w:szCs w:val="28"/>
        </w:rPr>
        <w:t>201</w:t>
      </w:r>
      <w:r>
        <w:rPr>
          <w:rFonts w:hint="default" w:ascii="Times New Roman" w:hAnsi="Times New Roman" w:cs="Times New Roman" w:eastAsiaTheme="majorEastAsia"/>
          <w:sz w:val="28"/>
          <w:szCs w:val="28"/>
        </w:rPr>
        <w:t>9</w:t>
      </w:r>
      <w:r>
        <w:rPr>
          <w:rFonts w:hint="default" w:ascii="Times New Roman" w:hAnsi="Times New Roman" w:cs="Times New Roman" w:eastAsiaTheme="majorEastAsia"/>
          <w:sz w:val="28"/>
          <w:szCs w:val="28"/>
        </w:rPr>
        <w:t>年</w:t>
      </w:r>
      <w:r>
        <w:rPr>
          <w:rFonts w:hint="default" w:ascii="Times New Roman" w:hAnsi="Times New Roman" w:cs="Times New Roman" w:eastAsiaTheme="majorEastAsia"/>
          <w:sz w:val="28"/>
          <w:szCs w:val="28"/>
          <w:lang w:val="en-US" w:eastAsia="zh-CN"/>
        </w:rPr>
        <w:t>6</w:t>
      </w:r>
      <w:r>
        <w:rPr>
          <w:rFonts w:hint="default" w:ascii="Times New Roman" w:hAnsi="Times New Roman" w:cs="Times New Roman" w:eastAsiaTheme="majorEastAsia"/>
          <w:sz w:val="28"/>
          <w:szCs w:val="28"/>
        </w:rPr>
        <w:t>月</w:t>
      </w:r>
      <w:r>
        <w:rPr>
          <w:rFonts w:hint="default" w:ascii="Times New Roman" w:hAnsi="Times New Roman" w:cs="Times New Roman" w:eastAsiaTheme="majorEastAsia"/>
          <w:sz w:val="28"/>
          <w:szCs w:val="28"/>
          <w:lang w:val="en-US" w:eastAsia="zh-CN"/>
        </w:rPr>
        <w:t>1</w:t>
      </w:r>
      <w:r>
        <w:rPr>
          <w:rFonts w:hint="default" w:ascii="Times New Roman" w:hAnsi="Times New Roman" w:cs="Times New Roman" w:eastAsiaTheme="majorEastAsia"/>
          <w:sz w:val="28"/>
          <w:szCs w:val="28"/>
        </w:rPr>
        <w:t>日，</w:t>
      </w:r>
      <w:r>
        <w:rPr>
          <w:rFonts w:hint="default" w:ascii="Times New Roman" w:hAnsi="Times New Roman" w:cs="Times New Roman" w:eastAsiaTheme="majorEastAsia"/>
          <w:sz w:val="28"/>
          <w:szCs w:val="28"/>
          <w:lang w:eastAsia="zh-CN"/>
        </w:rPr>
        <w:t>莘县蓝火新能源科技有限公司</w:t>
      </w:r>
      <w:r>
        <w:rPr>
          <w:rFonts w:hint="default" w:ascii="Times New Roman" w:hAnsi="Times New Roman" w:cs="Times New Roman" w:eastAsiaTheme="majorEastAsia"/>
          <w:sz w:val="28"/>
          <w:szCs w:val="28"/>
        </w:rPr>
        <w:t>组织召开</w:t>
      </w:r>
      <w:r>
        <w:rPr>
          <w:rFonts w:hint="default" w:ascii="Times New Roman" w:hAnsi="Times New Roman" w:cs="Times New Roman" w:eastAsiaTheme="majorEastAsia"/>
          <w:sz w:val="28"/>
          <w:szCs w:val="28"/>
          <w:lang w:eastAsia="zh-CN"/>
        </w:rPr>
        <w:t>莘县蓝火新能源科技有限公司年产30万吨洁净型煤项目（二期6万吨）</w:t>
      </w:r>
      <w:r>
        <w:rPr>
          <w:rFonts w:hint="default" w:ascii="Times New Roman" w:hAnsi="Times New Roman" w:cs="Times New Roman" w:eastAsiaTheme="majorEastAsia"/>
          <w:sz w:val="28"/>
          <w:szCs w:val="28"/>
        </w:rPr>
        <w:t>竣工环境保护验收现场检查及验收会。验收组由</w:t>
      </w:r>
      <w:r>
        <w:rPr>
          <w:rFonts w:hint="default" w:ascii="Times New Roman" w:hAnsi="Times New Roman" w:cs="Times New Roman" w:eastAsiaTheme="majorEastAsia"/>
          <w:sz w:val="28"/>
          <w:szCs w:val="28"/>
        </w:rPr>
        <w:t>业主</w:t>
      </w:r>
      <w:r>
        <w:rPr>
          <w:rFonts w:hint="default" w:ascii="Times New Roman" w:hAnsi="Times New Roman" w:cs="Times New Roman" w:eastAsiaTheme="majorEastAsia"/>
          <w:sz w:val="28"/>
          <w:szCs w:val="28"/>
        </w:rPr>
        <w:t>单位（</w:t>
      </w:r>
      <w:r>
        <w:rPr>
          <w:rFonts w:hint="default" w:ascii="Times New Roman" w:hAnsi="Times New Roman" w:cs="Times New Roman" w:eastAsiaTheme="majorEastAsia"/>
          <w:sz w:val="28"/>
          <w:szCs w:val="28"/>
          <w:lang w:eastAsia="zh-CN"/>
        </w:rPr>
        <w:t>莘县蓝火新能源科技有限公司</w:t>
      </w:r>
      <w:r>
        <w:rPr>
          <w:rFonts w:hint="default" w:ascii="Times New Roman" w:hAnsi="Times New Roman" w:cs="Times New Roman" w:eastAsiaTheme="majorEastAsia"/>
          <w:sz w:val="28"/>
          <w:szCs w:val="28"/>
        </w:rPr>
        <w:t>）、环评单位（</w:t>
      </w:r>
      <w:r>
        <w:rPr>
          <w:rFonts w:hint="default" w:ascii="Times New Roman" w:hAnsi="Times New Roman" w:cs="Times New Roman" w:eastAsiaTheme="majorEastAsia"/>
          <w:sz w:val="28"/>
          <w:szCs w:val="28"/>
          <w:lang w:eastAsia="zh-CN"/>
        </w:rPr>
        <w:t>安徽省四维环境工程有限公司</w:t>
      </w:r>
      <w:r>
        <w:rPr>
          <w:rFonts w:hint="default" w:ascii="Times New Roman" w:hAnsi="Times New Roman" w:cs="Times New Roman" w:eastAsiaTheme="majorEastAsia"/>
          <w:sz w:val="28"/>
          <w:szCs w:val="28"/>
        </w:rPr>
        <w:t>）、监测单位（山东聊和环保科技有限公司）并特邀</w:t>
      </w:r>
      <w:r>
        <w:rPr>
          <w:rFonts w:hint="default" w:ascii="Times New Roman" w:hAnsi="Times New Roman" w:cs="Times New Roman" w:eastAsiaTheme="majorEastAsia"/>
          <w:sz w:val="28"/>
          <w:szCs w:val="28"/>
        </w:rPr>
        <w:t>2</w:t>
      </w:r>
      <w:r>
        <w:rPr>
          <w:rFonts w:hint="default" w:ascii="Times New Roman" w:hAnsi="Times New Roman" w:cs="Times New Roman" w:eastAsiaTheme="majorEastAsia"/>
          <w:sz w:val="28"/>
          <w:szCs w:val="28"/>
        </w:rPr>
        <w:t>名技术专家组成。</w:t>
      </w:r>
    </w:p>
    <w:p>
      <w:pPr>
        <w:tabs>
          <w:tab w:val="left" w:pos="360"/>
        </w:tabs>
        <w:spacing w:line="360" w:lineRule="auto"/>
        <w:ind w:left="298" w:leftChars="142"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验收组现场核实了本项目环保工作落实情况，根据项目竣工环境保护验收监测报告并对照《建设项目环境保护管理条例》、《建设项目竣工环境保护验收暂行办法》，依照国家有关法律法规、建设项目竣工环境保护验收技术规范、本项目环境影响评价报告表和审批部门审批决定等</w:t>
      </w:r>
      <w:r>
        <w:rPr>
          <w:rFonts w:hint="default" w:ascii="Times New Roman" w:hAnsi="Times New Roman" w:cs="Times New Roman" w:eastAsiaTheme="majorEastAsia"/>
          <w:sz w:val="28"/>
          <w:szCs w:val="28"/>
        </w:rPr>
        <w:t>,</w:t>
      </w:r>
      <w:r>
        <w:rPr>
          <w:rFonts w:hint="default" w:ascii="Times New Roman" w:hAnsi="Times New Roman" w:cs="Times New Roman" w:eastAsiaTheme="majorEastAsia"/>
          <w:sz w:val="28"/>
          <w:szCs w:val="28"/>
        </w:rPr>
        <w:t>对本项目进行验收</w:t>
      </w:r>
      <w:r>
        <w:rPr>
          <w:rFonts w:hint="default" w:ascii="Times New Roman" w:hAnsi="Times New Roman" w:cs="Times New Roman" w:eastAsiaTheme="majorEastAsia"/>
          <w:sz w:val="28"/>
          <w:szCs w:val="28"/>
        </w:rPr>
        <w:t>。</w:t>
      </w:r>
      <w:r>
        <w:rPr>
          <w:rFonts w:hint="default" w:ascii="Times New Roman" w:hAnsi="Times New Roman" w:cs="Times New Roman" w:eastAsiaTheme="majorEastAsia"/>
          <w:sz w:val="28"/>
          <w:szCs w:val="28"/>
        </w:rPr>
        <w:t>经研究</w:t>
      </w:r>
      <w:r>
        <w:rPr>
          <w:rFonts w:hint="default" w:ascii="Times New Roman" w:hAnsi="Times New Roman" w:cs="Times New Roman" w:eastAsiaTheme="majorEastAsia"/>
          <w:sz w:val="28"/>
          <w:szCs w:val="28"/>
        </w:rPr>
        <w:t>形成验收</w:t>
      </w:r>
      <w:r>
        <w:rPr>
          <w:rFonts w:hint="default" w:ascii="Times New Roman" w:hAnsi="Times New Roman" w:cs="Times New Roman" w:eastAsiaTheme="majorEastAsia"/>
          <w:sz w:val="28"/>
          <w:szCs w:val="28"/>
        </w:rPr>
        <w:t>意见如下：</w:t>
      </w:r>
    </w:p>
    <w:p>
      <w:pPr>
        <w:spacing w:line="360" w:lineRule="auto"/>
        <w:ind w:firstLine="562" w:firstLineChars="200"/>
        <w:jc w:val="left"/>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一、工程建设基本情况</w:t>
      </w:r>
    </w:p>
    <w:p>
      <w:pPr>
        <w:tabs>
          <w:tab w:val="left" w:pos="360"/>
        </w:tabs>
        <w:spacing w:line="360" w:lineRule="auto"/>
        <w:ind w:left="298" w:leftChars="142" w:firstLine="482" w:firstLineChars="20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（一）建设地点、规模、主要建设内容</w:t>
      </w:r>
    </w:p>
    <w:p>
      <w:pPr>
        <w:tabs>
          <w:tab w:val="left" w:pos="360"/>
        </w:tabs>
        <w:spacing w:line="360" w:lineRule="auto"/>
        <w:ind w:left="298" w:leftChars="142"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项目建设地点</w:t>
      </w:r>
      <w:r>
        <w:rPr>
          <w:rFonts w:hint="default" w:ascii="Times New Roman" w:hAnsi="Times New Roman" w:cs="Times New Roman" w:eastAsiaTheme="majorEastAsia"/>
          <w:sz w:val="28"/>
          <w:szCs w:val="28"/>
        </w:rPr>
        <w:t>位于</w:t>
      </w:r>
      <w:r>
        <w:rPr>
          <w:rFonts w:hint="default" w:ascii="Times New Roman" w:hAnsi="Times New Roman" w:cs="Times New Roman" w:eastAsiaTheme="majorEastAsia"/>
          <w:sz w:val="28"/>
          <w:szCs w:val="28"/>
          <w:lang w:eastAsia="zh-CN"/>
        </w:rPr>
        <w:t>山东省聊城市莘县十八里铺镇葛庄村东</w:t>
      </w:r>
      <w:r>
        <w:rPr>
          <w:rFonts w:hint="default" w:ascii="Times New Roman" w:hAnsi="Times New Roman" w:cs="Times New Roman" w:eastAsiaTheme="majorEastAsia"/>
          <w:sz w:val="28"/>
          <w:szCs w:val="28"/>
        </w:rPr>
        <w:t>，厂区总占地面积</w:t>
      </w:r>
      <w:r>
        <w:rPr>
          <w:rFonts w:hint="default" w:ascii="Times New Roman" w:hAnsi="Times New Roman" w:cs="Times New Roman" w:eastAsiaTheme="majorEastAsia"/>
          <w:sz w:val="28"/>
          <w:szCs w:val="28"/>
          <w:lang w:val="en-US" w:eastAsia="zh-CN"/>
        </w:rPr>
        <w:t>52669.3</w:t>
      </w:r>
      <w:r>
        <w:rPr>
          <w:rFonts w:hint="default" w:ascii="Times New Roman" w:hAnsi="Times New Roman" w:cs="Times New Roman" w:eastAsiaTheme="majorEastAsia"/>
          <w:sz w:val="28"/>
          <w:szCs w:val="28"/>
        </w:rPr>
        <w:t>m</w:t>
      </w:r>
      <w:r>
        <w:rPr>
          <w:rFonts w:hint="default" w:ascii="Times New Roman" w:hAnsi="Times New Roman" w:cs="Times New Roman" w:eastAsiaTheme="majorEastAsia"/>
          <w:sz w:val="28"/>
          <w:szCs w:val="28"/>
          <w:vertAlign w:val="superscript"/>
        </w:rPr>
        <w:t>2</w:t>
      </w:r>
      <w:r>
        <w:rPr>
          <w:rFonts w:hint="default" w:ascii="Times New Roman" w:hAnsi="Times New Roman" w:cs="Times New Roman" w:eastAsiaTheme="majorEastAsia"/>
          <w:sz w:val="28"/>
          <w:szCs w:val="28"/>
        </w:rPr>
        <w:t>。项目分期建设，现有</w:t>
      </w:r>
      <w:r>
        <w:rPr>
          <w:rFonts w:hint="default" w:ascii="Times New Roman" w:hAnsi="Times New Roman" w:cs="Times New Roman" w:eastAsiaTheme="majorEastAsia"/>
          <w:sz w:val="28"/>
          <w:szCs w:val="28"/>
          <w:lang w:eastAsia="zh-CN"/>
        </w:rPr>
        <w:t>二</w:t>
      </w:r>
      <w:r>
        <w:rPr>
          <w:rFonts w:hint="default" w:ascii="Times New Roman" w:hAnsi="Times New Roman" w:cs="Times New Roman" w:eastAsiaTheme="majorEastAsia"/>
          <w:sz w:val="28"/>
          <w:szCs w:val="28"/>
        </w:rPr>
        <w:t>期项目总投资</w:t>
      </w:r>
      <w:r>
        <w:rPr>
          <w:rFonts w:hint="default" w:ascii="Times New Roman" w:hAnsi="Times New Roman" w:cs="Times New Roman" w:eastAsiaTheme="majorEastAsia"/>
          <w:sz w:val="28"/>
          <w:szCs w:val="28"/>
          <w:lang w:val="en-US" w:eastAsia="zh-CN"/>
        </w:rPr>
        <w:t>500</w:t>
      </w:r>
      <w:r>
        <w:rPr>
          <w:rFonts w:hint="default" w:ascii="Times New Roman" w:hAnsi="Times New Roman" w:cs="Times New Roman" w:eastAsiaTheme="majorEastAsia"/>
          <w:sz w:val="28"/>
          <w:szCs w:val="28"/>
        </w:rPr>
        <w:t>万元，年产</w:t>
      </w:r>
      <w:r>
        <w:rPr>
          <w:rFonts w:hint="default" w:ascii="Times New Roman" w:hAnsi="Times New Roman" w:cs="Times New Roman" w:eastAsiaTheme="majorEastAsia"/>
          <w:sz w:val="28"/>
          <w:szCs w:val="28"/>
          <w:lang w:val="en-US" w:eastAsia="zh-CN"/>
        </w:rPr>
        <w:t>6</w:t>
      </w:r>
      <w:r>
        <w:rPr>
          <w:rFonts w:hint="default" w:ascii="Times New Roman" w:hAnsi="Times New Roman" w:cs="Times New Roman" w:eastAsiaTheme="majorEastAsia"/>
          <w:sz w:val="28"/>
          <w:szCs w:val="28"/>
        </w:rPr>
        <w:t>万吨洁净型煤。购置配料机、搅拌机、成型机、</w:t>
      </w:r>
      <w:r>
        <w:rPr>
          <w:rFonts w:hint="default" w:ascii="Times New Roman" w:hAnsi="Times New Roman" w:cs="Times New Roman" w:eastAsiaTheme="majorEastAsia"/>
          <w:sz w:val="28"/>
          <w:szCs w:val="28"/>
          <w:lang w:eastAsia="zh-CN"/>
        </w:rPr>
        <w:t>包装机</w:t>
      </w:r>
      <w:r>
        <w:rPr>
          <w:rFonts w:hint="default" w:ascii="Times New Roman" w:hAnsi="Times New Roman" w:cs="Times New Roman" w:eastAsiaTheme="majorEastAsia"/>
          <w:sz w:val="28"/>
          <w:szCs w:val="28"/>
        </w:rPr>
        <w:t>等设备及配套环保设备。本次验收范围为年产</w:t>
      </w:r>
      <w:r>
        <w:rPr>
          <w:rFonts w:hint="default" w:ascii="Times New Roman" w:hAnsi="Times New Roman" w:cs="Times New Roman" w:eastAsiaTheme="majorEastAsia"/>
          <w:sz w:val="28"/>
          <w:szCs w:val="28"/>
          <w:lang w:val="en-US" w:eastAsia="zh-CN"/>
        </w:rPr>
        <w:t>6</w:t>
      </w:r>
      <w:r>
        <w:rPr>
          <w:rFonts w:hint="default" w:ascii="Times New Roman" w:hAnsi="Times New Roman" w:cs="Times New Roman" w:eastAsiaTheme="majorEastAsia"/>
          <w:sz w:val="28"/>
          <w:szCs w:val="28"/>
        </w:rPr>
        <w:t>万吨洁净型煤及其配套环保设施。</w:t>
      </w:r>
    </w:p>
    <w:p>
      <w:pPr>
        <w:tabs>
          <w:tab w:val="left" w:pos="360"/>
        </w:tabs>
        <w:spacing w:line="360" w:lineRule="auto"/>
        <w:ind w:left="298" w:leftChars="142"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建设性质为</w:t>
      </w:r>
      <w:r>
        <w:rPr>
          <w:rFonts w:hint="default" w:ascii="Times New Roman" w:hAnsi="Times New Roman" w:cs="Times New Roman" w:eastAsiaTheme="majorEastAsia"/>
          <w:sz w:val="28"/>
          <w:szCs w:val="28"/>
        </w:rPr>
        <w:t>新</w:t>
      </w:r>
      <w:r>
        <w:rPr>
          <w:rFonts w:hint="default" w:ascii="Times New Roman" w:hAnsi="Times New Roman" w:cs="Times New Roman" w:eastAsiaTheme="majorEastAsia"/>
          <w:sz w:val="28"/>
          <w:szCs w:val="28"/>
        </w:rPr>
        <w:t>建，项目生产规模为：</w:t>
      </w:r>
      <w:r>
        <w:rPr>
          <w:rFonts w:hint="default" w:ascii="Times New Roman" w:hAnsi="Times New Roman" w:cs="Times New Roman" w:eastAsiaTheme="majorEastAsia"/>
          <w:sz w:val="28"/>
          <w:szCs w:val="28"/>
        </w:rPr>
        <w:t>年产</w:t>
      </w:r>
      <w:r>
        <w:rPr>
          <w:rFonts w:hint="default" w:ascii="Times New Roman" w:hAnsi="Times New Roman" w:cs="Times New Roman" w:eastAsiaTheme="majorEastAsia"/>
          <w:sz w:val="28"/>
          <w:szCs w:val="28"/>
          <w:lang w:val="en-US" w:eastAsia="zh-CN"/>
        </w:rPr>
        <w:t>6</w:t>
      </w:r>
      <w:r>
        <w:rPr>
          <w:rFonts w:hint="default" w:ascii="Times New Roman" w:hAnsi="Times New Roman" w:cs="Times New Roman" w:eastAsiaTheme="majorEastAsia"/>
          <w:sz w:val="28"/>
          <w:szCs w:val="28"/>
        </w:rPr>
        <w:t>万吨洁净型煤。</w:t>
      </w:r>
    </w:p>
    <w:p>
      <w:pPr>
        <w:tabs>
          <w:tab w:val="left" w:pos="360"/>
        </w:tabs>
        <w:spacing w:line="360" w:lineRule="auto"/>
        <w:ind w:firstLine="590" w:firstLineChars="245"/>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（二）环保审批情况</w:t>
      </w:r>
    </w:p>
    <w:p>
      <w:pPr>
        <w:tabs>
          <w:tab w:val="left" w:pos="360"/>
        </w:tabs>
        <w:spacing w:line="360" w:lineRule="auto"/>
        <w:ind w:firstLine="840" w:firstLineChars="3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2016年8月莘县蓝火新能源科技有限公司委托安徽省四维环境工程有限公司编制了《莘县蓝火新能源科技有限公司年产30万吨洁净型煤项目环境影响报告表》，2016年11月1日莘县环境保护局以莘环报告表[2016]30号对其进行了审批。2018年1月份，莘县蓝火新能源科技有限公司委托山东省国衡环境检测有限公司对年产 30 万吨洁净型煤项目（一期15万吨）进行了环保验收监测工作，并编制验收监测报告（国衡验字[2018]第009号）</w:t>
      </w:r>
      <w:r>
        <w:rPr>
          <w:rFonts w:hint="default" w:ascii="Times New Roman" w:hAnsi="Times New Roman" w:cs="Times New Roman" w:eastAsiaTheme="majorEastAsia"/>
          <w:sz w:val="28"/>
          <w:szCs w:val="28"/>
          <w:lang w:eastAsia="zh-CN"/>
        </w:rPr>
        <w:t>，于</w:t>
      </w:r>
      <w:r>
        <w:rPr>
          <w:rFonts w:hint="default" w:ascii="Times New Roman" w:hAnsi="Times New Roman" w:cs="Times New Roman" w:eastAsiaTheme="majorEastAsia"/>
          <w:sz w:val="28"/>
          <w:szCs w:val="28"/>
          <w:lang w:val="en-US" w:eastAsia="zh-CN"/>
        </w:rPr>
        <w:t>2018年1月通过了一期项目的环保验收</w:t>
      </w:r>
      <w:r>
        <w:rPr>
          <w:rFonts w:hint="default" w:ascii="Times New Roman" w:hAnsi="Times New Roman" w:cs="Times New Roman" w:eastAsiaTheme="majorEastAsia"/>
          <w:sz w:val="28"/>
          <w:szCs w:val="28"/>
        </w:rPr>
        <w:t>。2019年4月份莘县蓝火新能源科技有限公司委托山东聊和环保科技有限公司进行该项目的环保验收监测工作，接受委托后山东聊和环保科技有限公司组织有关技术人员进行现场踏勘，依据监测技术规范制定了环保验收监测方案，并于2019.05.27-2019.05.28对厂区有关污染源进行了监测，根据验收监测结果和现场检查情况编制了本项目验收监测报告</w:t>
      </w:r>
      <w:r>
        <w:rPr>
          <w:rFonts w:hint="default" w:ascii="Times New Roman" w:hAnsi="Times New Roman" w:cs="Times New Roman" w:eastAsiaTheme="majorEastAsia"/>
          <w:sz w:val="28"/>
          <w:szCs w:val="28"/>
        </w:rPr>
        <w:t>。</w:t>
      </w:r>
    </w:p>
    <w:p>
      <w:pPr>
        <w:tabs>
          <w:tab w:val="left" w:pos="360"/>
        </w:tabs>
        <w:spacing w:line="360" w:lineRule="auto"/>
        <w:ind w:firstLine="361" w:firstLineChars="15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（三）投资情况</w:t>
      </w:r>
    </w:p>
    <w:p>
      <w:pPr>
        <w:tabs>
          <w:tab w:val="left" w:pos="360"/>
        </w:tabs>
        <w:spacing w:line="360" w:lineRule="auto"/>
        <w:ind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实际总投资</w:t>
      </w:r>
      <w:r>
        <w:rPr>
          <w:rFonts w:hint="default" w:ascii="Times New Roman" w:hAnsi="Times New Roman" w:cs="Times New Roman" w:eastAsiaTheme="majorEastAsia"/>
          <w:sz w:val="28"/>
          <w:szCs w:val="28"/>
          <w:lang w:val="en-US" w:eastAsia="zh-CN"/>
        </w:rPr>
        <w:t>500</w:t>
      </w:r>
      <w:r>
        <w:rPr>
          <w:rFonts w:hint="default" w:ascii="Times New Roman" w:hAnsi="Times New Roman" w:cs="Times New Roman" w:eastAsiaTheme="majorEastAsia"/>
          <w:sz w:val="28"/>
          <w:szCs w:val="28"/>
        </w:rPr>
        <w:t>万元，其中环保投资</w:t>
      </w:r>
      <w:r>
        <w:rPr>
          <w:rFonts w:hint="default" w:ascii="Times New Roman" w:hAnsi="Times New Roman" w:cs="Times New Roman" w:eastAsiaTheme="majorEastAsia"/>
          <w:sz w:val="28"/>
          <w:szCs w:val="28"/>
        </w:rPr>
        <w:t>10</w:t>
      </w:r>
      <w:r>
        <w:rPr>
          <w:rFonts w:hint="default" w:ascii="Times New Roman" w:hAnsi="Times New Roman" w:cs="Times New Roman" w:eastAsiaTheme="majorEastAsia"/>
          <w:sz w:val="28"/>
          <w:szCs w:val="28"/>
          <w:lang w:val="en-US" w:eastAsia="zh-CN"/>
        </w:rPr>
        <w:t>0</w:t>
      </w:r>
      <w:r>
        <w:rPr>
          <w:rFonts w:hint="default" w:ascii="Times New Roman" w:hAnsi="Times New Roman" w:cs="Times New Roman" w:eastAsiaTheme="majorEastAsia"/>
          <w:sz w:val="28"/>
          <w:szCs w:val="28"/>
        </w:rPr>
        <w:t>万元。占总投</w:t>
      </w:r>
      <w:r>
        <w:rPr>
          <w:rFonts w:hint="default" w:ascii="Times New Roman" w:hAnsi="Times New Roman" w:cs="Times New Roman" w:eastAsiaTheme="majorEastAsia"/>
          <w:sz w:val="28"/>
          <w:szCs w:val="28"/>
          <w:lang w:val="en-US" w:eastAsia="zh-CN"/>
        </w:rPr>
        <w:t>20</w:t>
      </w:r>
      <w:r>
        <w:rPr>
          <w:rFonts w:hint="default" w:ascii="Times New Roman" w:hAnsi="Times New Roman" w:cs="Times New Roman" w:eastAsiaTheme="majorEastAsia"/>
          <w:sz w:val="28"/>
          <w:szCs w:val="28"/>
        </w:rPr>
        <w:t>％。</w:t>
      </w:r>
    </w:p>
    <w:p>
      <w:pPr>
        <w:tabs>
          <w:tab w:val="left" w:pos="360"/>
        </w:tabs>
        <w:spacing w:line="360" w:lineRule="auto"/>
        <w:ind w:firstLine="361" w:firstLineChars="15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（四）验收范围</w:t>
      </w:r>
    </w:p>
    <w:p>
      <w:pPr>
        <w:tabs>
          <w:tab w:val="left" w:pos="360"/>
        </w:tabs>
        <w:spacing w:line="360" w:lineRule="auto"/>
        <w:ind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年产</w:t>
      </w:r>
      <w:r>
        <w:rPr>
          <w:rFonts w:hint="default" w:ascii="Times New Roman" w:hAnsi="Times New Roman" w:cs="Times New Roman" w:eastAsiaTheme="majorEastAsia"/>
          <w:sz w:val="28"/>
          <w:szCs w:val="28"/>
          <w:lang w:val="en-US" w:eastAsia="zh-CN"/>
        </w:rPr>
        <w:t>6</w:t>
      </w:r>
      <w:r>
        <w:rPr>
          <w:rFonts w:hint="default" w:ascii="Times New Roman" w:hAnsi="Times New Roman" w:cs="Times New Roman" w:eastAsiaTheme="majorEastAsia"/>
          <w:sz w:val="28"/>
          <w:szCs w:val="28"/>
        </w:rPr>
        <w:t>万吨洁净型煤及其配套环保设施</w:t>
      </w:r>
      <w:r>
        <w:rPr>
          <w:rFonts w:hint="default" w:ascii="Times New Roman" w:hAnsi="Times New Roman" w:cs="Times New Roman" w:eastAsiaTheme="majorEastAsia"/>
          <w:sz w:val="28"/>
          <w:szCs w:val="28"/>
        </w:rPr>
        <w:t>。</w:t>
      </w:r>
    </w:p>
    <w:p>
      <w:pPr>
        <w:spacing w:line="360" w:lineRule="auto"/>
        <w:ind w:firstLine="562" w:firstLineChars="200"/>
        <w:jc w:val="left"/>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二、工程变更情况</w:t>
      </w:r>
    </w:p>
    <w:p>
      <w:pPr>
        <w:spacing w:line="360" w:lineRule="auto"/>
        <w:ind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项目分期验收</w:t>
      </w:r>
      <w:r>
        <w:rPr>
          <w:rFonts w:hint="default" w:ascii="Times New Roman" w:hAnsi="Times New Roman" w:cs="Times New Roman" w:eastAsiaTheme="majorEastAsia"/>
          <w:sz w:val="28"/>
          <w:szCs w:val="28"/>
          <w:lang w:eastAsia="zh-CN"/>
        </w:rPr>
        <w:t>，本次验收为二期验收</w:t>
      </w:r>
      <w:r>
        <w:rPr>
          <w:rFonts w:hint="default" w:ascii="Times New Roman" w:hAnsi="Times New Roman" w:cs="Times New Roman" w:eastAsiaTheme="majorEastAsia"/>
          <w:sz w:val="28"/>
          <w:szCs w:val="28"/>
        </w:rPr>
        <w:t>。生产工艺无变化，</w:t>
      </w:r>
      <w:r>
        <w:rPr>
          <w:rFonts w:hint="default" w:ascii="Times New Roman" w:hAnsi="Times New Roman" w:cs="Times New Roman" w:eastAsiaTheme="majorEastAsia"/>
          <w:sz w:val="28"/>
          <w:szCs w:val="28"/>
        </w:rPr>
        <w:t>不属于重大变更。</w:t>
      </w:r>
    </w:p>
    <w:p>
      <w:pPr>
        <w:spacing w:line="360" w:lineRule="auto"/>
        <w:ind w:firstLine="562" w:firstLineChars="200"/>
        <w:jc w:val="left"/>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三、环境保护设施落实情况</w:t>
      </w:r>
    </w:p>
    <w:p>
      <w:pPr>
        <w:tabs>
          <w:tab w:val="left" w:pos="360"/>
        </w:tabs>
        <w:spacing w:line="360" w:lineRule="auto"/>
        <w:ind w:firstLine="361" w:firstLineChars="15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（一）废水</w:t>
      </w:r>
    </w:p>
    <w:p>
      <w:pPr>
        <w:spacing w:line="360" w:lineRule="auto"/>
        <w:ind w:firstLine="560" w:firstLineChars="200"/>
        <w:jc w:val="left"/>
        <w:rPr>
          <w:rFonts w:hint="default" w:ascii="Times New Roman" w:hAnsi="Times New Roman" w:cs="Times New Roman" w:eastAsiaTheme="majorEastAsia"/>
          <w:snapToGrid w:val="0"/>
          <w:kern w:val="0"/>
          <w:sz w:val="28"/>
          <w:szCs w:val="28"/>
        </w:rPr>
      </w:pPr>
      <w:r>
        <w:rPr>
          <w:rFonts w:hint="default" w:ascii="Times New Roman" w:hAnsi="Times New Roman" w:cs="Times New Roman" w:eastAsiaTheme="majorEastAsia"/>
          <w:snapToGrid w:val="0"/>
          <w:kern w:val="0"/>
          <w:sz w:val="28"/>
          <w:szCs w:val="28"/>
        </w:rPr>
        <w:t>项目无生产废水产生，废水主要为生活污水，生活污水排入厂内污水处理站处理后回用于仓库内喷淋抑尘洒水</w:t>
      </w:r>
      <w:r>
        <w:rPr>
          <w:rFonts w:hint="default" w:ascii="Times New Roman" w:hAnsi="Times New Roman" w:cs="Times New Roman" w:eastAsiaTheme="majorEastAsia"/>
          <w:snapToGrid w:val="0"/>
          <w:kern w:val="0"/>
          <w:sz w:val="28"/>
          <w:szCs w:val="28"/>
        </w:rPr>
        <w:t>。</w:t>
      </w:r>
    </w:p>
    <w:p>
      <w:pPr>
        <w:tabs>
          <w:tab w:val="left" w:pos="360"/>
        </w:tabs>
        <w:spacing w:line="360" w:lineRule="auto"/>
        <w:ind w:firstLine="361" w:firstLineChars="15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（二）废气</w:t>
      </w:r>
    </w:p>
    <w:p>
      <w:pPr>
        <w:spacing w:line="360" w:lineRule="auto"/>
        <w:ind w:firstLine="560" w:firstLineChars="200"/>
        <w:jc w:val="left"/>
        <w:rPr>
          <w:rFonts w:hint="default" w:ascii="Times New Roman" w:hAnsi="Times New Roman" w:cs="Times New Roman" w:eastAsiaTheme="majorEastAsia"/>
          <w:snapToGrid w:val="0"/>
          <w:kern w:val="0"/>
          <w:sz w:val="28"/>
          <w:szCs w:val="28"/>
        </w:rPr>
      </w:pPr>
      <w:r>
        <w:rPr>
          <w:rFonts w:hint="default" w:ascii="Times New Roman" w:hAnsi="Times New Roman" w:cs="Times New Roman" w:eastAsiaTheme="majorEastAsia"/>
          <w:snapToGrid w:val="0"/>
          <w:kern w:val="0"/>
          <w:sz w:val="28"/>
          <w:szCs w:val="28"/>
        </w:rPr>
        <w:t>项目主要分为有组织废气和无组织废气。</w:t>
      </w:r>
    </w:p>
    <w:p>
      <w:pPr>
        <w:spacing w:line="360" w:lineRule="auto"/>
        <w:ind w:firstLine="560" w:firstLineChars="200"/>
        <w:jc w:val="left"/>
        <w:rPr>
          <w:rFonts w:hint="default" w:ascii="Times New Roman" w:hAnsi="Times New Roman" w:cs="Times New Roman" w:eastAsiaTheme="majorEastAsia"/>
          <w:snapToGrid w:val="0"/>
          <w:kern w:val="0"/>
          <w:sz w:val="28"/>
          <w:szCs w:val="28"/>
        </w:rPr>
      </w:pPr>
      <w:r>
        <w:rPr>
          <w:rFonts w:hint="default" w:ascii="Times New Roman" w:hAnsi="Times New Roman" w:cs="Times New Roman" w:eastAsiaTheme="majorEastAsia"/>
          <w:snapToGrid w:val="0"/>
          <w:kern w:val="0"/>
          <w:sz w:val="28"/>
          <w:szCs w:val="28"/>
        </w:rPr>
        <w:t>有组织废气主要来源于破碎工序、筛分工序产生的粉尘，经集气罩收集由布袋除尘器处理后经15m高排气筒排放。</w:t>
      </w:r>
    </w:p>
    <w:p>
      <w:pPr>
        <w:spacing w:line="360" w:lineRule="auto"/>
        <w:ind w:firstLine="560" w:firstLineChars="200"/>
        <w:jc w:val="left"/>
        <w:rPr>
          <w:rFonts w:hint="default" w:ascii="Times New Roman" w:hAnsi="Times New Roman" w:cs="Times New Roman" w:eastAsiaTheme="majorEastAsia"/>
          <w:snapToGrid w:val="0"/>
          <w:kern w:val="0"/>
          <w:sz w:val="28"/>
          <w:szCs w:val="28"/>
        </w:rPr>
      </w:pPr>
      <w:r>
        <w:rPr>
          <w:rFonts w:hint="default" w:ascii="Times New Roman" w:hAnsi="Times New Roman" w:cs="Times New Roman" w:eastAsiaTheme="majorEastAsia"/>
          <w:snapToGrid w:val="0"/>
          <w:kern w:val="0"/>
          <w:sz w:val="28"/>
          <w:szCs w:val="28"/>
        </w:rPr>
        <w:t>项目无组织废气主要为集气罩未能收集的粉尘，最终通过无组织的形式排放。通过雾炮洒水，以减少对周围大气环境的不利影响</w:t>
      </w:r>
      <w:r>
        <w:rPr>
          <w:rFonts w:hint="default" w:ascii="Times New Roman" w:hAnsi="Times New Roman" w:cs="Times New Roman" w:eastAsiaTheme="majorEastAsia"/>
          <w:snapToGrid w:val="0"/>
          <w:kern w:val="0"/>
          <w:sz w:val="28"/>
          <w:szCs w:val="28"/>
        </w:rPr>
        <w:t>。</w:t>
      </w:r>
    </w:p>
    <w:p>
      <w:pPr>
        <w:tabs>
          <w:tab w:val="left" w:pos="360"/>
        </w:tabs>
        <w:spacing w:line="360" w:lineRule="auto"/>
        <w:ind w:firstLine="361" w:firstLineChars="15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（三）噪声</w:t>
      </w:r>
    </w:p>
    <w:p>
      <w:pPr>
        <w:spacing w:line="360" w:lineRule="auto"/>
        <w:ind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项目噪声源主要为搅拌机、粉碎机、筛分机、成型机等设备运行时产生的噪声，所有生产设备均设置于生产车间内，经过基础减振，再经过厂房隔声、距离衰减等措施降低对周围环境的影响</w:t>
      </w:r>
      <w:r>
        <w:rPr>
          <w:rFonts w:hint="default" w:ascii="Times New Roman" w:hAnsi="Times New Roman" w:cs="Times New Roman" w:eastAsiaTheme="majorEastAsia"/>
          <w:sz w:val="28"/>
          <w:szCs w:val="28"/>
        </w:rPr>
        <w:t>。</w:t>
      </w:r>
    </w:p>
    <w:p>
      <w:pPr>
        <w:tabs>
          <w:tab w:val="left" w:pos="360"/>
        </w:tabs>
        <w:spacing w:line="360" w:lineRule="auto"/>
        <w:ind w:firstLine="361" w:firstLineChars="15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（四）固体废物</w:t>
      </w:r>
    </w:p>
    <w:p>
      <w:pPr>
        <w:pStyle w:val="14"/>
        <w:spacing w:line="360" w:lineRule="auto"/>
        <w:ind w:firstLine="560"/>
        <w:jc w:val="left"/>
        <w:rPr>
          <w:rFonts w:hint="default" w:ascii="Times New Roman" w:hAnsi="Times New Roman" w:cs="Times New Roman" w:eastAsiaTheme="majorEastAsia"/>
          <w:snapToGrid w:val="0"/>
          <w:kern w:val="0"/>
          <w:sz w:val="28"/>
          <w:szCs w:val="28"/>
        </w:rPr>
      </w:pPr>
      <w:r>
        <w:rPr>
          <w:rFonts w:hint="default" w:ascii="Times New Roman" w:hAnsi="Times New Roman" w:cs="Times New Roman" w:eastAsiaTheme="majorEastAsia"/>
          <w:snapToGrid w:val="0"/>
          <w:kern w:val="0"/>
          <w:sz w:val="28"/>
          <w:szCs w:val="28"/>
        </w:rPr>
        <w:t>项目固废主要为除尘器收集的粉尘及职工生活垃圾。对于除尘器收集的粉尘收集后返回到生产工序再利用；职工生活垃圾收集后委托环卫部门统一清运、处理</w:t>
      </w:r>
      <w:r>
        <w:rPr>
          <w:rFonts w:hint="default" w:ascii="Times New Roman" w:hAnsi="Times New Roman" w:cs="Times New Roman" w:eastAsiaTheme="majorEastAsia"/>
          <w:snapToGrid w:val="0"/>
          <w:kern w:val="0"/>
          <w:sz w:val="28"/>
          <w:szCs w:val="28"/>
        </w:rPr>
        <w:t>。</w:t>
      </w:r>
    </w:p>
    <w:p>
      <w:pPr>
        <w:spacing w:line="360" w:lineRule="auto"/>
        <w:ind w:firstLine="562" w:firstLineChars="200"/>
        <w:jc w:val="left"/>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四、验收监测结果</w:t>
      </w:r>
    </w:p>
    <w:p>
      <w:pPr>
        <w:tabs>
          <w:tab w:val="left" w:pos="360"/>
        </w:tabs>
        <w:spacing w:line="360" w:lineRule="auto"/>
        <w:ind w:firstLine="361" w:firstLineChars="15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（一）环保设施运行检测结果</w:t>
      </w:r>
    </w:p>
    <w:p>
      <w:pPr>
        <w:widowControl/>
        <w:spacing w:line="360" w:lineRule="auto"/>
        <w:ind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山东聊和环保科技有限公司出具的《</w:t>
      </w:r>
      <w:r>
        <w:rPr>
          <w:rFonts w:hint="default" w:ascii="Times New Roman" w:hAnsi="Times New Roman" w:cs="Times New Roman" w:eastAsiaTheme="majorEastAsia"/>
          <w:sz w:val="28"/>
          <w:szCs w:val="28"/>
          <w:lang w:eastAsia="zh-CN"/>
        </w:rPr>
        <w:t>莘县蓝火新能源科技有限公司年产30万吨洁净型煤项目（二期6万吨）</w:t>
      </w:r>
      <w:r>
        <w:rPr>
          <w:rFonts w:hint="default" w:ascii="Times New Roman" w:hAnsi="Times New Roman" w:cs="Times New Roman" w:eastAsiaTheme="majorEastAsia"/>
          <w:sz w:val="28"/>
          <w:szCs w:val="28"/>
        </w:rPr>
        <w:t>竣工环境保护验收监测报告》监测结果表明：</w:t>
      </w:r>
    </w:p>
    <w:p>
      <w:pPr>
        <w:spacing w:line="360" w:lineRule="auto"/>
        <w:ind w:left="141" w:leftChars="67" w:firstLine="697" w:firstLineChars="249"/>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1.</w:t>
      </w:r>
      <w:r>
        <w:rPr>
          <w:rFonts w:hint="default" w:ascii="Times New Roman" w:hAnsi="Times New Roman" w:cs="Times New Roman" w:eastAsiaTheme="majorEastAsia"/>
          <w:sz w:val="28"/>
          <w:szCs w:val="28"/>
        </w:rPr>
        <w:t>废气</w:t>
      </w:r>
    </w:p>
    <w:p>
      <w:pPr>
        <w:pStyle w:val="2"/>
        <w:spacing w:line="360" w:lineRule="auto"/>
        <w:ind w:firstLine="560"/>
        <w:jc w:val="both"/>
        <w:rPr>
          <w:rFonts w:hint="default" w:ascii="Times New Roman" w:hAnsi="Times New Roman" w:cs="Times New Roman" w:eastAsiaTheme="majorEastAsia"/>
          <w:kern w:val="2"/>
          <w:sz w:val="28"/>
          <w:szCs w:val="28"/>
          <w:lang w:val="en-US" w:eastAsia="zh-CN" w:bidi="ar-SA"/>
        </w:rPr>
      </w:pPr>
      <w:r>
        <w:rPr>
          <w:rFonts w:hint="default" w:ascii="Times New Roman" w:hAnsi="Times New Roman" w:cs="Times New Roman" w:eastAsiaTheme="majorEastAsia"/>
          <w:kern w:val="2"/>
          <w:sz w:val="28"/>
          <w:szCs w:val="28"/>
          <w:lang w:val="en-US" w:eastAsia="zh-CN" w:bidi="ar-SA"/>
        </w:rPr>
        <w:t>验收监测期间，有组织颗粒物最大监测浓度及排放速率分别为4.8mg/m</w:t>
      </w:r>
      <w:r>
        <w:rPr>
          <w:rFonts w:hint="default" w:ascii="Times New Roman" w:hAnsi="Times New Roman" w:cs="Times New Roman" w:eastAsiaTheme="majorEastAsia"/>
          <w:kern w:val="2"/>
          <w:sz w:val="28"/>
          <w:szCs w:val="28"/>
          <w:vertAlign w:val="superscript"/>
          <w:lang w:val="en-US" w:eastAsia="zh-CN" w:bidi="ar-SA"/>
        </w:rPr>
        <w:t>3</w:t>
      </w:r>
      <w:r>
        <w:rPr>
          <w:rFonts w:hint="default" w:ascii="Times New Roman" w:hAnsi="Times New Roman" w:cs="Times New Roman" w:eastAsiaTheme="majorEastAsia"/>
          <w:kern w:val="2"/>
          <w:sz w:val="28"/>
          <w:szCs w:val="28"/>
          <w:lang w:val="en-US" w:eastAsia="zh-CN" w:bidi="ar-SA"/>
        </w:rPr>
        <w:t>、0.</w:t>
      </w:r>
      <w:r>
        <w:rPr>
          <w:rFonts w:hint="default" w:ascii="Times New Roman" w:hAnsi="Times New Roman" w:cs="Times New Roman" w:eastAsiaTheme="majorEastAsia"/>
          <w:kern w:val="2"/>
          <w:sz w:val="28"/>
          <w:szCs w:val="28"/>
          <w:lang w:val="en-US" w:eastAsia="zh-CN" w:bidi="ar-SA"/>
        </w:rPr>
        <w:t>016</w:t>
      </w:r>
      <w:r>
        <w:rPr>
          <w:rFonts w:hint="default" w:ascii="Times New Roman" w:hAnsi="Times New Roman" w:cs="Times New Roman" w:eastAsiaTheme="majorEastAsia"/>
          <w:kern w:val="2"/>
          <w:sz w:val="28"/>
          <w:szCs w:val="28"/>
          <w:lang w:val="en-US" w:eastAsia="zh-CN" w:bidi="ar-SA"/>
        </w:rPr>
        <w:t>kg/h，符合《山东省区域性大气污染物综合排放标准》表2“一般控制区”</w:t>
      </w:r>
      <w:r>
        <w:rPr>
          <w:rFonts w:hint="default" w:ascii="Times New Roman" w:hAnsi="Times New Roman" w:cs="Times New Roman" w:eastAsiaTheme="majorEastAsia"/>
          <w:kern w:val="2"/>
          <w:sz w:val="28"/>
          <w:szCs w:val="28"/>
          <w:lang w:val="en-US" w:eastAsia="zh-CN" w:bidi="ar-SA"/>
        </w:rPr>
        <w:t>及</w:t>
      </w:r>
      <w:r>
        <w:rPr>
          <w:rFonts w:hint="default" w:ascii="Times New Roman" w:hAnsi="Times New Roman" w:cs="Times New Roman" w:eastAsiaTheme="majorEastAsia"/>
          <w:kern w:val="2"/>
          <w:sz w:val="28"/>
          <w:szCs w:val="28"/>
          <w:lang w:val="en-US" w:eastAsia="zh-CN" w:bidi="ar-SA"/>
        </w:rPr>
        <w:t>《煤炭工业污染物排放标准》 表5</w:t>
      </w:r>
      <w:r>
        <w:rPr>
          <w:rFonts w:hint="default" w:ascii="Times New Roman" w:hAnsi="Times New Roman" w:cs="Times New Roman" w:eastAsiaTheme="majorEastAsia"/>
          <w:kern w:val="2"/>
          <w:sz w:val="28"/>
          <w:szCs w:val="28"/>
          <w:lang w:val="en-US" w:eastAsia="zh-CN" w:bidi="ar-SA"/>
        </w:rPr>
        <w:t>相关限值要求</w:t>
      </w:r>
      <w:r>
        <w:rPr>
          <w:rFonts w:hint="default" w:ascii="Times New Roman" w:hAnsi="Times New Roman" w:cs="Times New Roman" w:eastAsiaTheme="majorEastAsia"/>
          <w:kern w:val="2"/>
          <w:sz w:val="28"/>
          <w:szCs w:val="28"/>
          <w:lang w:val="en-US" w:eastAsia="zh-CN" w:bidi="ar-SA"/>
        </w:rPr>
        <w:t>、《大气污染物综合排放标准》表2</w:t>
      </w:r>
      <w:r>
        <w:rPr>
          <w:rFonts w:hint="default" w:ascii="Times New Roman" w:hAnsi="Times New Roman" w:cs="Times New Roman" w:eastAsiaTheme="majorEastAsia"/>
          <w:kern w:val="2"/>
          <w:sz w:val="28"/>
          <w:szCs w:val="28"/>
          <w:lang w:val="en-US" w:eastAsia="zh-CN" w:bidi="ar-SA"/>
        </w:rPr>
        <w:t>相关速率限值要求</w:t>
      </w:r>
      <w:r>
        <w:rPr>
          <w:rFonts w:hint="default" w:ascii="Times New Roman" w:hAnsi="Times New Roman" w:cs="Times New Roman" w:eastAsiaTheme="majorEastAsia"/>
          <w:kern w:val="2"/>
          <w:sz w:val="28"/>
          <w:szCs w:val="28"/>
          <w:lang w:val="en-US" w:eastAsia="zh-CN" w:bidi="ar-SA"/>
        </w:rPr>
        <w:t>；无组织废气颗粒物厂界最大监测浓度为</w:t>
      </w:r>
      <w:r>
        <w:rPr>
          <w:rFonts w:hint="default" w:ascii="Times New Roman" w:hAnsi="Times New Roman" w:cs="Times New Roman" w:eastAsiaTheme="majorEastAsia"/>
          <w:kern w:val="2"/>
          <w:sz w:val="28"/>
          <w:szCs w:val="28"/>
          <w:lang w:val="en-US" w:eastAsia="zh-CN" w:bidi="ar-SA"/>
        </w:rPr>
        <w:t>0.568</w:t>
      </w:r>
      <w:r>
        <w:rPr>
          <w:rFonts w:hint="default" w:ascii="Times New Roman" w:hAnsi="Times New Roman" w:cs="Times New Roman" w:eastAsiaTheme="majorEastAsia"/>
          <w:kern w:val="2"/>
          <w:sz w:val="28"/>
          <w:szCs w:val="28"/>
          <w:lang w:val="en-US" w:eastAsia="zh-CN" w:bidi="ar-SA"/>
        </w:rPr>
        <w:t>mg/m</w:t>
      </w:r>
      <w:r>
        <w:rPr>
          <w:rFonts w:hint="default" w:ascii="Times New Roman" w:hAnsi="Times New Roman" w:cs="Times New Roman" w:eastAsiaTheme="majorEastAsia"/>
          <w:kern w:val="2"/>
          <w:sz w:val="28"/>
          <w:szCs w:val="28"/>
          <w:vertAlign w:val="superscript"/>
          <w:lang w:val="en-US" w:eastAsia="zh-CN" w:bidi="ar-SA"/>
        </w:rPr>
        <w:t>3</w:t>
      </w:r>
      <w:r>
        <w:rPr>
          <w:rFonts w:hint="default" w:ascii="Times New Roman" w:hAnsi="Times New Roman" w:cs="Times New Roman" w:eastAsiaTheme="majorEastAsia"/>
          <w:kern w:val="2"/>
          <w:sz w:val="28"/>
          <w:szCs w:val="28"/>
          <w:lang w:val="en-US" w:eastAsia="zh-CN" w:bidi="ar-SA"/>
        </w:rPr>
        <w:t>，符合《煤炭工业污染物排放标准》(GB 20426—2006)表5标准要求及《大气污染物综合排放标准》（GB16297-1996）表2相关限值。</w:t>
      </w:r>
    </w:p>
    <w:p>
      <w:pPr>
        <w:spacing w:line="360" w:lineRule="auto"/>
        <w:ind w:left="664" w:leftChars="316"/>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2.</w:t>
      </w:r>
      <w:r>
        <w:rPr>
          <w:rFonts w:hint="default" w:ascii="Times New Roman" w:hAnsi="Times New Roman" w:cs="Times New Roman" w:eastAsiaTheme="majorEastAsia"/>
          <w:sz w:val="28"/>
          <w:szCs w:val="28"/>
        </w:rPr>
        <w:t>噪声</w:t>
      </w:r>
    </w:p>
    <w:p>
      <w:pPr>
        <w:spacing w:line="360" w:lineRule="auto"/>
        <w:ind w:left="141" w:leftChars="67" w:firstLine="697" w:firstLineChars="249"/>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验收监测期间，各监测点位昼间噪声在57.3dB(A)-62.4dB(A)之间，夜间不生产，满足《工业企业厂界环境噪声排放标准》（GB12348－2008）中</w:t>
      </w:r>
      <w:bookmarkStart w:id="0" w:name="_GoBack"/>
      <w:bookmarkEnd w:id="0"/>
      <w:r>
        <w:rPr>
          <w:rFonts w:hint="default" w:ascii="Times New Roman" w:hAnsi="Times New Roman" w:cs="Times New Roman" w:eastAsiaTheme="majorEastAsia"/>
          <w:sz w:val="28"/>
          <w:szCs w:val="28"/>
        </w:rPr>
        <w:t>的3类标准限值。</w:t>
      </w:r>
    </w:p>
    <w:p>
      <w:pPr>
        <w:spacing w:line="360" w:lineRule="auto"/>
        <w:ind w:firstLine="560" w:firstLineChars="200"/>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3.</w:t>
      </w:r>
      <w:r>
        <w:rPr>
          <w:rFonts w:hint="default" w:ascii="Times New Roman" w:hAnsi="Times New Roman" w:cs="Times New Roman" w:eastAsiaTheme="majorEastAsia"/>
          <w:sz w:val="28"/>
          <w:szCs w:val="28"/>
        </w:rPr>
        <w:t>固体废物</w:t>
      </w:r>
    </w:p>
    <w:p>
      <w:pPr>
        <w:spacing w:line="360" w:lineRule="auto"/>
        <w:ind w:firstLine="560" w:firstLineChars="200"/>
        <w:rPr>
          <w:rFonts w:hint="default" w:ascii="Times New Roman" w:hAnsi="Times New Roman" w:cs="Times New Roman" w:eastAsiaTheme="majorEastAsia"/>
          <w:snapToGrid w:val="0"/>
          <w:kern w:val="0"/>
          <w:sz w:val="28"/>
          <w:szCs w:val="28"/>
        </w:rPr>
      </w:pPr>
      <w:r>
        <w:rPr>
          <w:rFonts w:hint="default" w:ascii="Times New Roman" w:hAnsi="Times New Roman" w:cs="Times New Roman" w:eastAsiaTheme="majorEastAsia"/>
          <w:snapToGrid w:val="0"/>
          <w:kern w:val="0"/>
          <w:sz w:val="28"/>
          <w:szCs w:val="28"/>
        </w:rPr>
        <w:t>项目固废主要为除尘器收集的粉尘及职工生活垃圾。对于除尘器收集的粉尘收集后返回到生产工序再利用；职工生活垃圾收集后委托环卫部门统一清运、处理。</w:t>
      </w:r>
    </w:p>
    <w:p>
      <w:pPr>
        <w:tabs>
          <w:tab w:val="left" w:pos="360"/>
        </w:tabs>
        <w:spacing w:line="360" w:lineRule="auto"/>
        <w:ind w:firstLine="361" w:firstLineChars="150"/>
        <w:jc w:val="left"/>
        <w:rPr>
          <w:rFonts w:hint="default" w:ascii="Times New Roman" w:hAnsi="Times New Roman" w:cs="Times New Roman" w:eastAsiaTheme="majorEastAsia"/>
          <w:b/>
          <w:sz w:val="24"/>
        </w:rPr>
      </w:pPr>
      <w:r>
        <w:rPr>
          <w:rFonts w:hint="default" w:ascii="Times New Roman" w:hAnsi="Times New Roman" w:cs="Times New Roman" w:eastAsiaTheme="majorEastAsia"/>
          <w:b/>
          <w:sz w:val="24"/>
        </w:rPr>
        <w:t>（二）环境管理调查</w:t>
      </w:r>
    </w:p>
    <w:p>
      <w:pPr>
        <w:spacing w:line="360" w:lineRule="auto"/>
        <w:ind w:firstLine="560" w:firstLineChars="200"/>
        <w:rPr>
          <w:rFonts w:hint="default" w:ascii="Times New Roman" w:hAnsi="Times New Roman" w:cs="Times New Roman" w:eastAsiaTheme="majorEastAsia"/>
          <w:color w:val="000000" w:themeColor="text1"/>
          <w:sz w:val="28"/>
          <w:szCs w:val="28"/>
          <w14:textFill>
            <w14:solidFill>
              <w14:schemeClr w14:val="tx1"/>
            </w14:solidFill>
          </w14:textFill>
        </w:rPr>
      </w:pPr>
      <w:r>
        <w:rPr>
          <w:rFonts w:hint="default" w:ascii="Times New Roman" w:hAnsi="Times New Roman" w:cs="Times New Roman" w:eastAsiaTheme="majorEastAsia"/>
          <w:sz w:val="28"/>
          <w:szCs w:val="28"/>
        </w:rPr>
        <w:t>公司</w:t>
      </w:r>
      <w:r>
        <w:rPr>
          <w:rFonts w:hint="default" w:ascii="Times New Roman" w:hAnsi="Times New Roman" w:cs="Times New Roman" w:eastAsiaTheme="majorEastAsia"/>
          <w:sz w:val="28"/>
          <w:szCs w:val="28"/>
        </w:rPr>
        <w:t>制定了《环保管理制度》，并设立了相关机构。日常工作由</w:t>
      </w:r>
      <w:r>
        <w:rPr>
          <w:rFonts w:hint="default" w:ascii="Times New Roman" w:hAnsi="Times New Roman" w:cs="Times New Roman" w:eastAsiaTheme="majorEastAsia"/>
          <w:sz w:val="28"/>
          <w:szCs w:val="28"/>
        </w:rPr>
        <w:t>办公室</w:t>
      </w:r>
      <w:r>
        <w:rPr>
          <w:rFonts w:hint="default" w:ascii="Times New Roman" w:hAnsi="Times New Roman" w:cs="Times New Roman" w:eastAsiaTheme="majorEastAsia"/>
          <w:sz w:val="28"/>
          <w:szCs w:val="28"/>
        </w:rPr>
        <w:t>管理，行使公司环保工作组织、协调、检查和考核管理职能。</w:t>
      </w:r>
    </w:p>
    <w:p>
      <w:pPr>
        <w:spacing w:line="360" w:lineRule="auto"/>
        <w:ind w:firstLine="562" w:firstLineChars="200"/>
        <w:jc w:val="left"/>
        <w:rPr>
          <w:rFonts w:hint="default" w:ascii="Times New Roman" w:hAnsi="Times New Roman" w:cs="Times New Roman" w:eastAsiaTheme="majorEastAsia"/>
          <w:b/>
          <w:sz w:val="28"/>
          <w:szCs w:val="28"/>
        </w:rPr>
      </w:pPr>
      <w:r>
        <w:rPr>
          <w:rFonts w:hint="default" w:ascii="Times New Roman" w:hAnsi="Times New Roman" w:cs="Times New Roman" w:eastAsiaTheme="majorEastAsia"/>
          <w:b/>
          <w:sz w:val="28"/>
          <w:szCs w:val="28"/>
        </w:rPr>
        <w:t>五、验收结论</w:t>
      </w:r>
    </w:p>
    <w:p>
      <w:pPr>
        <w:spacing w:line="360" w:lineRule="auto"/>
        <w:ind w:firstLine="555"/>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该项目实施过程中按照环评及其批复要求落实了相关环保措施，建立了相应的环保管理制度，项目建设过程无重大变更。验收监测各项指标满足国家相关排放标准。</w:t>
      </w:r>
    </w:p>
    <w:p>
      <w:pPr>
        <w:tabs>
          <w:tab w:val="left" w:pos="5955"/>
          <w:tab w:val="left" w:pos="6095"/>
        </w:tabs>
        <w:spacing w:line="360" w:lineRule="auto"/>
        <w:ind w:firstLine="560" w:firstLineChars="20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鉴于项目符合国家和地方相关产业标准及准入要求，环保设施与生产配套，验收期间各项监测指标满足国家相关排放标准，该项目通过环保验收。</w:t>
      </w:r>
    </w:p>
    <w:p>
      <w:pPr>
        <w:spacing w:line="360" w:lineRule="auto"/>
        <w:ind w:firstLine="562" w:firstLineChars="200"/>
        <w:jc w:val="left"/>
        <w:rPr>
          <w:rFonts w:hint="default" w:ascii="Times New Roman" w:hAnsi="Times New Roman" w:cs="Times New Roman" w:eastAsiaTheme="majorEastAsia"/>
          <w:color w:val="000000" w:themeColor="text1"/>
          <w:sz w:val="28"/>
          <w:szCs w:val="28"/>
          <w14:textFill>
            <w14:solidFill>
              <w14:schemeClr w14:val="tx1"/>
            </w14:solidFill>
          </w14:textFill>
        </w:rPr>
      </w:pPr>
      <w:r>
        <w:rPr>
          <w:rFonts w:hint="default" w:ascii="Times New Roman" w:hAnsi="Times New Roman" w:cs="Times New Roman" w:eastAsiaTheme="majorEastAsia"/>
          <w:b/>
          <w:sz w:val="28"/>
          <w:szCs w:val="28"/>
        </w:rPr>
        <w:t>六、</w:t>
      </w:r>
      <w:r>
        <w:rPr>
          <w:rFonts w:hint="default" w:ascii="Times New Roman" w:hAnsi="Times New Roman" w:cs="Times New Roman" w:eastAsiaTheme="majorEastAsia"/>
          <w:b/>
          <w:sz w:val="28"/>
          <w:szCs w:val="28"/>
        </w:rPr>
        <w:t>后续要求</w:t>
      </w:r>
    </w:p>
    <w:p>
      <w:pPr>
        <w:pStyle w:val="14"/>
        <w:spacing w:line="360" w:lineRule="auto"/>
        <w:ind w:firstLine="56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1、</w:t>
      </w:r>
      <w:r>
        <w:rPr>
          <w:rFonts w:hint="default" w:ascii="Times New Roman" w:hAnsi="Times New Roman" w:cs="Times New Roman" w:eastAsiaTheme="majorEastAsia"/>
          <w:sz w:val="28"/>
          <w:szCs w:val="28"/>
          <w:lang w:eastAsia="zh-CN"/>
        </w:rPr>
        <w:t>生产过程中及时清理成型机附近的废料</w:t>
      </w:r>
      <w:r>
        <w:rPr>
          <w:rFonts w:hint="default" w:ascii="Times New Roman" w:hAnsi="Times New Roman" w:cs="Times New Roman" w:eastAsiaTheme="majorEastAsia"/>
          <w:sz w:val="28"/>
          <w:szCs w:val="28"/>
        </w:rPr>
        <w:t>。</w:t>
      </w:r>
    </w:p>
    <w:p>
      <w:pPr>
        <w:pStyle w:val="14"/>
        <w:spacing w:line="360" w:lineRule="auto"/>
        <w:ind w:firstLine="56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rPr>
        <w:t>2、原料区加强</w:t>
      </w:r>
      <w:r>
        <w:rPr>
          <w:rFonts w:hint="default" w:ascii="Times New Roman" w:hAnsi="Times New Roman" w:cs="Times New Roman" w:eastAsiaTheme="majorEastAsia"/>
          <w:sz w:val="28"/>
          <w:szCs w:val="28"/>
          <w:lang w:eastAsia="zh-CN"/>
        </w:rPr>
        <w:t>水</w:t>
      </w:r>
      <w:r>
        <w:rPr>
          <w:rFonts w:hint="default" w:ascii="Times New Roman" w:hAnsi="Times New Roman" w:cs="Times New Roman" w:eastAsiaTheme="majorEastAsia"/>
          <w:sz w:val="28"/>
          <w:szCs w:val="28"/>
        </w:rPr>
        <w:t>喷淋</w:t>
      </w:r>
      <w:r>
        <w:rPr>
          <w:rFonts w:hint="default" w:ascii="Times New Roman" w:hAnsi="Times New Roman" w:cs="Times New Roman" w:eastAsiaTheme="majorEastAsia"/>
          <w:sz w:val="28"/>
          <w:szCs w:val="28"/>
          <w:lang w:eastAsia="zh-CN"/>
        </w:rPr>
        <w:t>，抑制无组织粉尘</w:t>
      </w:r>
      <w:r>
        <w:rPr>
          <w:rFonts w:hint="default" w:ascii="Times New Roman" w:hAnsi="Times New Roman" w:cs="Times New Roman" w:eastAsiaTheme="majorEastAsia"/>
          <w:sz w:val="28"/>
          <w:szCs w:val="28"/>
        </w:rPr>
        <w:t>。</w:t>
      </w:r>
    </w:p>
    <w:p>
      <w:pPr>
        <w:pStyle w:val="14"/>
        <w:spacing w:line="360" w:lineRule="auto"/>
        <w:ind w:firstLine="560"/>
        <w:jc w:val="lef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lang w:val="en-US" w:eastAsia="zh-CN"/>
        </w:rPr>
        <w:t>3</w:t>
      </w:r>
      <w:r>
        <w:rPr>
          <w:rFonts w:hint="default" w:ascii="Times New Roman" w:hAnsi="Times New Roman" w:cs="Times New Roman" w:eastAsiaTheme="majorEastAsia"/>
          <w:sz w:val="28"/>
          <w:szCs w:val="28"/>
        </w:rPr>
        <w:t>、</w:t>
      </w:r>
      <w:r>
        <w:rPr>
          <w:rFonts w:hint="default" w:ascii="Times New Roman" w:hAnsi="Times New Roman" w:cs="Times New Roman" w:eastAsiaTheme="majorEastAsia"/>
          <w:sz w:val="28"/>
          <w:szCs w:val="28"/>
        </w:rPr>
        <w:t>进一步规范验收监测报告编制内容。</w:t>
      </w:r>
    </w:p>
    <w:p>
      <w:pPr>
        <w:pStyle w:val="2"/>
        <w:ind w:firstLine="562"/>
        <w:rPr>
          <w:rFonts w:hint="default" w:ascii="Times New Roman" w:hAnsi="Times New Roman" w:cs="Times New Roman" w:eastAsiaTheme="majorEastAsia"/>
          <w:b/>
        </w:rPr>
      </w:pPr>
      <w:r>
        <w:rPr>
          <w:rFonts w:hint="default" w:ascii="Times New Roman" w:hAnsi="Times New Roman" w:cs="Times New Roman" w:eastAsiaTheme="majorEastAsia"/>
          <w:b/>
        </w:rPr>
        <w:t>七、验收组名单</w:t>
      </w:r>
    </w:p>
    <w:p>
      <w:pPr>
        <w:pStyle w:val="2"/>
        <w:ind w:firstLine="560"/>
        <w:rPr>
          <w:rFonts w:hint="default" w:ascii="Times New Roman" w:hAnsi="Times New Roman" w:cs="Times New Roman" w:eastAsiaTheme="majorEastAsia"/>
        </w:rPr>
      </w:pPr>
      <w:r>
        <w:rPr>
          <w:rFonts w:hint="default" w:ascii="Times New Roman" w:hAnsi="Times New Roman" w:cs="Times New Roman" w:eastAsiaTheme="majorEastAsia"/>
        </w:rPr>
        <w:t>见附件。</w:t>
      </w:r>
    </w:p>
    <w:p>
      <w:pPr>
        <w:pStyle w:val="2"/>
        <w:ind w:firstLine="560"/>
        <w:rPr>
          <w:rFonts w:hint="default" w:ascii="Times New Roman" w:hAnsi="Times New Roman" w:cs="Times New Roman" w:eastAsiaTheme="majorEastAsia"/>
        </w:rPr>
      </w:pPr>
    </w:p>
    <w:p>
      <w:pPr>
        <w:pStyle w:val="2"/>
        <w:ind w:firstLine="560"/>
        <w:rPr>
          <w:rFonts w:hint="default" w:ascii="Times New Roman" w:hAnsi="Times New Roman" w:cs="Times New Roman" w:eastAsiaTheme="majorEastAsia"/>
        </w:rPr>
      </w:pPr>
    </w:p>
    <w:p>
      <w:pPr>
        <w:pStyle w:val="2"/>
        <w:ind w:firstLine="560"/>
        <w:rPr>
          <w:rFonts w:hint="default" w:ascii="Times New Roman" w:hAnsi="Times New Roman" w:cs="Times New Roman" w:eastAsiaTheme="majorEastAsia"/>
        </w:rPr>
      </w:pPr>
    </w:p>
    <w:p>
      <w:pPr>
        <w:pStyle w:val="2"/>
        <w:ind w:firstLine="560"/>
        <w:rPr>
          <w:rFonts w:hint="default" w:ascii="Times New Roman" w:hAnsi="Times New Roman" w:cs="Times New Roman" w:eastAsiaTheme="majorEastAsia"/>
        </w:rPr>
      </w:pPr>
    </w:p>
    <w:p>
      <w:pPr>
        <w:pStyle w:val="2"/>
        <w:ind w:firstLine="560"/>
        <w:rPr>
          <w:rFonts w:hint="default" w:ascii="Times New Roman" w:hAnsi="Times New Roman" w:cs="Times New Roman" w:eastAsiaTheme="majorEastAsia"/>
        </w:rPr>
      </w:pPr>
    </w:p>
    <w:p>
      <w:pPr>
        <w:spacing w:line="360" w:lineRule="auto"/>
        <w:jc w:val="right"/>
        <w:rPr>
          <w:rFonts w:hint="default" w:ascii="Times New Roman" w:hAnsi="Times New Roman" w:cs="Times New Roman" w:eastAsiaTheme="majorEastAsia"/>
          <w:sz w:val="28"/>
          <w:szCs w:val="28"/>
        </w:rPr>
      </w:pPr>
      <w:r>
        <w:rPr>
          <w:rFonts w:hint="default" w:ascii="Times New Roman" w:hAnsi="Times New Roman" w:cs="Times New Roman" w:eastAsiaTheme="majorEastAsia"/>
          <w:sz w:val="28"/>
          <w:szCs w:val="28"/>
          <w:lang w:eastAsia="zh-CN"/>
        </w:rPr>
        <w:t>莘县蓝火新能源科技有限公司</w:t>
      </w:r>
      <w:r>
        <w:rPr>
          <w:rFonts w:hint="default" w:ascii="Times New Roman" w:hAnsi="Times New Roman" w:cs="Times New Roman" w:eastAsiaTheme="majorEastAsia"/>
          <w:sz w:val="28"/>
          <w:szCs w:val="28"/>
        </w:rPr>
        <w:t>验收组</w:t>
      </w:r>
    </w:p>
    <w:p>
      <w:pPr>
        <w:spacing w:line="360" w:lineRule="auto"/>
        <w:jc w:val="right"/>
        <w:rPr>
          <w:rFonts w:hint="default" w:ascii="Times New Roman" w:hAnsi="Times New Roman" w:cs="Times New Roman" w:eastAsiaTheme="majorEastAsia"/>
        </w:rPr>
      </w:pPr>
      <w:r>
        <w:rPr>
          <w:rFonts w:hint="default" w:ascii="Times New Roman" w:hAnsi="Times New Roman" w:cs="Times New Roman" w:eastAsiaTheme="majorEastAsia"/>
          <w:sz w:val="28"/>
          <w:szCs w:val="28"/>
        </w:rPr>
        <w:t xml:space="preserve">   201</w:t>
      </w:r>
      <w:r>
        <w:rPr>
          <w:rFonts w:hint="default" w:ascii="Times New Roman" w:hAnsi="Times New Roman" w:cs="Times New Roman" w:eastAsiaTheme="majorEastAsia"/>
          <w:sz w:val="28"/>
          <w:szCs w:val="28"/>
        </w:rPr>
        <w:t>9</w:t>
      </w:r>
      <w:r>
        <w:rPr>
          <w:rFonts w:hint="default" w:ascii="Times New Roman" w:hAnsi="Times New Roman" w:cs="Times New Roman" w:eastAsiaTheme="majorEastAsia"/>
          <w:sz w:val="28"/>
          <w:szCs w:val="28"/>
        </w:rPr>
        <w:t>年</w:t>
      </w:r>
      <w:r>
        <w:rPr>
          <w:rFonts w:hint="default" w:ascii="Times New Roman" w:hAnsi="Times New Roman" w:cs="Times New Roman" w:eastAsiaTheme="majorEastAsia"/>
          <w:sz w:val="28"/>
          <w:szCs w:val="28"/>
          <w:lang w:val="en-US" w:eastAsia="zh-CN"/>
        </w:rPr>
        <w:t>6</w:t>
      </w:r>
      <w:r>
        <w:rPr>
          <w:rFonts w:hint="default" w:ascii="Times New Roman" w:hAnsi="Times New Roman" w:cs="Times New Roman" w:eastAsiaTheme="majorEastAsia"/>
          <w:sz w:val="28"/>
          <w:szCs w:val="28"/>
        </w:rPr>
        <w:t>月</w:t>
      </w:r>
      <w:r>
        <w:rPr>
          <w:rFonts w:hint="default" w:ascii="Times New Roman" w:hAnsi="Times New Roman" w:cs="Times New Roman" w:eastAsiaTheme="majorEastAsia"/>
          <w:sz w:val="28"/>
          <w:szCs w:val="28"/>
          <w:lang w:val="en-US" w:eastAsia="zh-CN"/>
        </w:rPr>
        <w:t>1</w:t>
      </w:r>
      <w:r>
        <w:rPr>
          <w:rFonts w:hint="default" w:ascii="Times New Roman" w:hAnsi="Times New Roman" w:cs="Times New Roman" w:eastAsiaTheme="majorEastAsia"/>
          <w:sz w:val="28"/>
          <w:szCs w:val="28"/>
        </w:rPr>
        <w:t>日</w:t>
      </w: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4"/>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A0880"/>
    <w:rsid w:val="00071917"/>
    <w:rsid w:val="00084955"/>
    <w:rsid w:val="00143251"/>
    <w:rsid w:val="001A0880"/>
    <w:rsid w:val="002E1900"/>
    <w:rsid w:val="0043412A"/>
    <w:rsid w:val="00456A2F"/>
    <w:rsid w:val="004A6ED1"/>
    <w:rsid w:val="004B3592"/>
    <w:rsid w:val="0060420F"/>
    <w:rsid w:val="00BB6087"/>
    <w:rsid w:val="00E33CC9"/>
    <w:rsid w:val="00E37A97"/>
    <w:rsid w:val="01ED3F9D"/>
    <w:rsid w:val="06C81383"/>
    <w:rsid w:val="07A55512"/>
    <w:rsid w:val="090C6538"/>
    <w:rsid w:val="0B055D8B"/>
    <w:rsid w:val="0BB105F9"/>
    <w:rsid w:val="0BCD78E3"/>
    <w:rsid w:val="0BD4352F"/>
    <w:rsid w:val="0FF7137B"/>
    <w:rsid w:val="13242E95"/>
    <w:rsid w:val="176C6CB9"/>
    <w:rsid w:val="18100048"/>
    <w:rsid w:val="18D05E89"/>
    <w:rsid w:val="19776944"/>
    <w:rsid w:val="19BD6A9B"/>
    <w:rsid w:val="1AAF6CA7"/>
    <w:rsid w:val="1C9713D3"/>
    <w:rsid w:val="1E6E0F57"/>
    <w:rsid w:val="22271ADE"/>
    <w:rsid w:val="22A72464"/>
    <w:rsid w:val="24A41C66"/>
    <w:rsid w:val="27420539"/>
    <w:rsid w:val="2A4101B1"/>
    <w:rsid w:val="2BFB35B9"/>
    <w:rsid w:val="2C2D0B50"/>
    <w:rsid w:val="30CB2781"/>
    <w:rsid w:val="31572BC2"/>
    <w:rsid w:val="31FF6708"/>
    <w:rsid w:val="33775C0A"/>
    <w:rsid w:val="3608178F"/>
    <w:rsid w:val="378F40F5"/>
    <w:rsid w:val="37C4153C"/>
    <w:rsid w:val="3800281E"/>
    <w:rsid w:val="38551EF2"/>
    <w:rsid w:val="3B2962D5"/>
    <w:rsid w:val="3FDD2C6F"/>
    <w:rsid w:val="4021784B"/>
    <w:rsid w:val="42D02360"/>
    <w:rsid w:val="440B2C50"/>
    <w:rsid w:val="44801C86"/>
    <w:rsid w:val="45B12AB5"/>
    <w:rsid w:val="4848218B"/>
    <w:rsid w:val="4AA80130"/>
    <w:rsid w:val="4CAE592A"/>
    <w:rsid w:val="4EDF6355"/>
    <w:rsid w:val="52082039"/>
    <w:rsid w:val="52300633"/>
    <w:rsid w:val="547348A8"/>
    <w:rsid w:val="54A46E50"/>
    <w:rsid w:val="5AD75B85"/>
    <w:rsid w:val="5AE658AC"/>
    <w:rsid w:val="5BC66C55"/>
    <w:rsid w:val="5F0C4CFF"/>
    <w:rsid w:val="614D2684"/>
    <w:rsid w:val="65826A80"/>
    <w:rsid w:val="65F40410"/>
    <w:rsid w:val="66FB5067"/>
    <w:rsid w:val="6A4209DB"/>
    <w:rsid w:val="6ABA50EB"/>
    <w:rsid w:val="6D060658"/>
    <w:rsid w:val="6DEB0CC4"/>
    <w:rsid w:val="6DF43CEC"/>
    <w:rsid w:val="71544088"/>
    <w:rsid w:val="717B6F2E"/>
    <w:rsid w:val="72321631"/>
    <w:rsid w:val="732B48DD"/>
    <w:rsid w:val="77314A22"/>
    <w:rsid w:val="77930543"/>
    <w:rsid w:val="79F74EBF"/>
    <w:rsid w:val="7F4274D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sz w:val="28"/>
      <w:szCs w:val="28"/>
    </w:rPr>
  </w:style>
  <w:style w:type="paragraph" w:styleId="3">
    <w:name w:val="annotation text"/>
    <w:basedOn w:val="1"/>
    <w:link w:val="19"/>
    <w:semiHidden/>
    <w:unhideWhenUsed/>
    <w:qFormat/>
    <w:uiPriority w:val="99"/>
    <w:pPr>
      <w:jc w:val="left"/>
    </w:pPr>
  </w:style>
  <w:style w:type="paragraph" w:styleId="4">
    <w:name w:val="Block Text"/>
    <w:basedOn w:val="1"/>
    <w:semiHidden/>
    <w:unhideWhenUsed/>
    <w:qFormat/>
    <w:uiPriority w:val="99"/>
    <w:pPr>
      <w:ind w:left="525" w:leftChars="250" w:right="685" w:rightChars="326" w:firstLine="560"/>
    </w:pPr>
    <w:rPr>
      <w:sz w:val="28"/>
    </w:rPr>
  </w:style>
  <w:style w:type="paragraph" w:styleId="5">
    <w:name w:val="Plain Text"/>
    <w:basedOn w:val="1"/>
    <w:semiHidden/>
    <w:unhideWhenUsed/>
    <w:qFormat/>
    <w:uiPriority w:val="99"/>
    <w:rPr>
      <w:rFonts w:ascii="宋体" w:hAnsi="Courier New" w:cs="Courier New"/>
      <w:szCs w:val="21"/>
    </w:rPr>
  </w:style>
  <w:style w:type="paragraph" w:styleId="6">
    <w:name w:val="Balloon Text"/>
    <w:basedOn w:val="1"/>
    <w:link w:val="21"/>
    <w:qFormat/>
    <w:uiPriority w:val="0"/>
    <w:rPr>
      <w:sz w:val="18"/>
      <w:szCs w:val="18"/>
    </w:rPr>
  </w:style>
  <w:style w:type="paragraph" w:styleId="7">
    <w:name w:val="footer"/>
    <w:basedOn w:val="1"/>
    <w:link w:val="18"/>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20"/>
    <w:qFormat/>
    <w:uiPriority w:val="0"/>
    <w:rPr>
      <w:b/>
      <w:bCs/>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3">
    <w:name w:val="annotation reference"/>
    <w:basedOn w:val="12"/>
    <w:qFormat/>
    <w:uiPriority w:val="0"/>
    <w:rPr>
      <w:sz w:val="21"/>
      <w:szCs w:val="21"/>
    </w:rPr>
  </w:style>
  <w:style w:type="paragraph" w:styleId="14">
    <w:name w:val="List Paragraph"/>
    <w:basedOn w:val="1"/>
    <w:qFormat/>
    <w:uiPriority w:val="99"/>
    <w:pPr>
      <w:ind w:firstLine="420" w:firstLineChars="200"/>
    </w:pPr>
  </w:style>
  <w:style w:type="paragraph" w:customStyle="1" w:styleId="15">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 w:type="paragraph" w:customStyle="1" w:styleId="16">
    <w:name w:val="报告表正文"/>
    <w:basedOn w:val="1"/>
    <w:qFormat/>
    <w:uiPriority w:val="0"/>
    <w:pPr>
      <w:tabs>
        <w:tab w:val="left" w:pos="7560"/>
      </w:tabs>
      <w:adjustRightInd w:val="0"/>
      <w:spacing w:line="360" w:lineRule="auto"/>
      <w:ind w:firstLine="480" w:firstLineChars="200"/>
    </w:pPr>
    <w:rPr>
      <w:bCs/>
      <w:sz w:val="24"/>
    </w:rPr>
  </w:style>
  <w:style w:type="character" w:customStyle="1" w:styleId="17">
    <w:name w:val="页眉 Char"/>
    <w:basedOn w:val="12"/>
    <w:link w:val="8"/>
    <w:qFormat/>
    <w:uiPriority w:val="0"/>
    <w:rPr>
      <w:kern w:val="2"/>
      <w:sz w:val="18"/>
      <w:szCs w:val="18"/>
    </w:rPr>
  </w:style>
  <w:style w:type="character" w:customStyle="1" w:styleId="18">
    <w:name w:val="页脚 Char"/>
    <w:basedOn w:val="12"/>
    <w:link w:val="7"/>
    <w:qFormat/>
    <w:uiPriority w:val="0"/>
    <w:rPr>
      <w:kern w:val="2"/>
      <w:sz w:val="18"/>
      <w:szCs w:val="18"/>
    </w:rPr>
  </w:style>
  <w:style w:type="character" w:customStyle="1" w:styleId="19">
    <w:name w:val="批注文字 Char"/>
    <w:basedOn w:val="12"/>
    <w:link w:val="3"/>
    <w:semiHidden/>
    <w:qFormat/>
    <w:uiPriority w:val="99"/>
    <w:rPr>
      <w:kern w:val="2"/>
      <w:sz w:val="21"/>
      <w:szCs w:val="24"/>
    </w:rPr>
  </w:style>
  <w:style w:type="character" w:customStyle="1" w:styleId="20">
    <w:name w:val="批注主题 Char"/>
    <w:basedOn w:val="19"/>
    <w:link w:val="9"/>
    <w:qFormat/>
    <w:uiPriority w:val="0"/>
  </w:style>
  <w:style w:type="character" w:customStyle="1" w:styleId="21">
    <w:name w:val="批注框文本 Char"/>
    <w:basedOn w:val="12"/>
    <w:link w:val="6"/>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1190</Words>
  <Characters>1250</Characters>
  <Lines>52</Lines>
  <Paragraphs>58</Paragraphs>
  <TotalTime>116</TotalTime>
  <ScaleCrop>false</ScaleCrop>
  <LinksUpToDate>false</LinksUpToDate>
  <CharactersWithSpaces>2382</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且尽欢</cp:lastModifiedBy>
  <cp:lastPrinted>2019-07-18T01:11:56Z</cp:lastPrinted>
  <dcterms:modified xsi:type="dcterms:W3CDTF">2019-07-18T03:46:59Z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