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东阿县铜城街道办事处社区卫生服务中心项目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竣工环境保护验收意见</w:t>
      </w:r>
    </w:p>
    <w:p>
      <w:pPr>
        <w:pStyle w:val="2"/>
        <w:ind w:firstLine="560"/>
      </w:pPr>
    </w:p>
    <w:p>
      <w:pPr>
        <w:tabs>
          <w:tab w:val="left" w:pos="360"/>
        </w:tabs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2019年</w:t>
      </w:r>
      <w:r>
        <w:rPr>
          <w:rFonts w:hint="eastAsia" w:eastAsiaTheme="majorEastAsia"/>
          <w:sz w:val="28"/>
          <w:szCs w:val="28"/>
        </w:rPr>
        <w:t>3</w:t>
      </w:r>
      <w:r>
        <w:rPr>
          <w:rFonts w:eastAsiaTheme="majorEastAsia"/>
          <w:sz w:val="28"/>
          <w:szCs w:val="28"/>
        </w:rPr>
        <w:t>月</w:t>
      </w:r>
      <w:r>
        <w:rPr>
          <w:rFonts w:hint="eastAsia" w:eastAsiaTheme="majorEastAsia"/>
          <w:sz w:val="28"/>
          <w:szCs w:val="28"/>
        </w:rPr>
        <w:t>8</w:t>
      </w:r>
      <w:r>
        <w:rPr>
          <w:rFonts w:eastAsiaTheme="majorEastAsia"/>
          <w:sz w:val="28"/>
          <w:szCs w:val="28"/>
        </w:rPr>
        <w:t>日，东阿县铜城街道办事处社区卫生服务中心组织召开</w:t>
      </w:r>
      <w:r>
        <w:rPr>
          <w:sz w:val="28"/>
          <w:szCs w:val="28"/>
        </w:rPr>
        <w:t>东阿县铜城社区卫生服务中心项目</w:t>
      </w:r>
      <w:r>
        <w:rPr>
          <w:rFonts w:eastAsiaTheme="majorEastAsia"/>
          <w:sz w:val="28"/>
          <w:szCs w:val="28"/>
        </w:rPr>
        <w:t>竣工环境保护验收现场检查及验收会。验收组由业主单位（东阿县铜城街道办事处社区卫生服务中心）、监测单位（山东聊和环保科技有限公司）并特邀2名技术专家组成。</w:t>
      </w:r>
    </w:p>
    <w:p>
      <w:pPr>
        <w:tabs>
          <w:tab w:val="left" w:pos="360"/>
        </w:tabs>
        <w:spacing w:line="500" w:lineRule="exact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验收组现场查阅并核实了项目环保工作落实情况，根据验收监测报告并对照《建设项目竣工环境保护验收暂行办法》、</w:t>
      </w:r>
      <w:r>
        <w:rPr>
          <w:rFonts w:asciiTheme="minorEastAsia" w:hAnsiTheme="minorEastAsia" w:eastAsiaTheme="minorEastAsia"/>
          <w:sz w:val="28"/>
          <w:szCs w:val="28"/>
        </w:rPr>
        <w:t>《建设项目竣工环境保护验收技术指南</w:t>
      </w:r>
      <w:r>
        <w:rPr>
          <w:rFonts w:hint="eastAsia" w:asciiTheme="minorEastAsia" w:hAnsiTheme="minorEastAsia" w:eastAsiaTheme="minorEastAsia"/>
          <w:sz w:val="28"/>
          <w:szCs w:val="28"/>
        </w:rPr>
        <w:t xml:space="preserve"> 医疗机构</w:t>
      </w:r>
      <w:r>
        <w:rPr>
          <w:rFonts w:asciiTheme="minorEastAsia" w:hAnsiTheme="minorEastAsia" w:eastAsiaTheme="minorEastAsia"/>
          <w:sz w:val="28"/>
          <w:szCs w:val="28"/>
        </w:rPr>
        <w:t>》</w:t>
      </w:r>
      <w:r>
        <w:rPr>
          <w:rFonts w:hint="eastAsia" w:asciiTheme="minorEastAsia" w:hAnsiTheme="minorEastAsia" w:eastAsiaTheme="minorEastAsia"/>
          <w:sz w:val="28"/>
          <w:szCs w:val="28"/>
        </w:rPr>
        <w:t>等有关法规、技术规范、本项目环评文件及批复等要求，对本项目进行验收。形成验收意见如下：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一、工程建设基本情况</w:t>
      </w:r>
    </w:p>
    <w:p>
      <w:pPr>
        <w:tabs>
          <w:tab w:val="left" w:pos="360"/>
        </w:tabs>
        <w:spacing w:line="360" w:lineRule="auto"/>
        <w:ind w:left="298" w:leftChars="142"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（一）建设地点、规模、主要建设内容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项目位于</w:t>
      </w:r>
      <w:r>
        <w:rPr>
          <w:rFonts w:hint="eastAsia" w:eastAsiaTheme="majorEastAsia"/>
          <w:sz w:val="28"/>
          <w:szCs w:val="28"/>
        </w:rPr>
        <w:t>聊城市</w:t>
      </w:r>
      <w:r>
        <w:rPr>
          <w:rFonts w:eastAsiaTheme="majorEastAsia"/>
          <w:sz w:val="28"/>
          <w:szCs w:val="28"/>
        </w:rPr>
        <w:t>东阿县</w:t>
      </w:r>
      <w:r>
        <w:rPr>
          <w:rFonts w:hint="eastAsia" w:eastAsiaTheme="majorEastAsia"/>
          <w:sz w:val="28"/>
          <w:szCs w:val="28"/>
        </w:rPr>
        <w:t>城区，</w:t>
      </w:r>
      <w:r>
        <w:rPr>
          <w:rFonts w:eastAsiaTheme="majorEastAsia"/>
          <w:sz w:val="28"/>
          <w:szCs w:val="28"/>
        </w:rPr>
        <w:t>光明街以南、人民街以东300米</w:t>
      </w:r>
      <w:r>
        <w:rPr>
          <w:rFonts w:hint="eastAsia" w:eastAsiaTheme="majorEastAsia"/>
          <w:sz w:val="28"/>
          <w:szCs w:val="28"/>
        </w:rPr>
        <w:t>。</w:t>
      </w:r>
      <w:r>
        <w:rPr>
          <w:rFonts w:hint="eastAsia" w:asciiTheme="majorEastAsia" w:hAnsiTheme="majorEastAsia" w:eastAsiaTheme="majorEastAsia"/>
          <w:sz w:val="28"/>
          <w:szCs w:val="28"/>
        </w:rPr>
        <w:t>东阿县铜城街道办事处社区卫生服务中心</w:t>
      </w:r>
      <w:r>
        <w:rPr>
          <w:rFonts w:eastAsiaTheme="majorEastAsia"/>
          <w:sz w:val="28"/>
          <w:szCs w:val="28"/>
        </w:rPr>
        <w:t>总占地面积3894m</w:t>
      </w:r>
      <w:r>
        <w:rPr>
          <w:rFonts w:eastAsiaTheme="majorEastAsia"/>
          <w:sz w:val="28"/>
          <w:szCs w:val="28"/>
          <w:vertAlign w:val="superscript"/>
        </w:rPr>
        <w:t>2</w:t>
      </w:r>
      <w:r>
        <w:rPr>
          <w:rFonts w:hint="eastAsia" w:eastAsiaTheme="majorEastAsia"/>
          <w:sz w:val="28"/>
          <w:szCs w:val="28"/>
        </w:rPr>
        <w:t>，</w:t>
      </w:r>
      <w:r>
        <w:rPr>
          <w:rFonts w:eastAsiaTheme="majorEastAsia"/>
          <w:sz w:val="28"/>
          <w:szCs w:val="28"/>
        </w:rPr>
        <w:t>总建筑面积约7400m</w:t>
      </w:r>
      <w:r>
        <w:rPr>
          <w:rFonts w:eastAsiaTheme="majorEastAsia"/>
          <w:sz w:val="28"/>
          <w:szCs w:val="28"/>
          <w:vertAlign w:val="superscript"/>
        </w:rPr>
        <w:t>2</w:t>
      </w:r>
      <w:r>
        <w:rPr>
          <w:rFonts w:eastAsiaTheme="majorEastAsia"/>
          <w:sz w:val="28"/>
          <w:szCs w:val="28"/>
        </w:rPr>
        <w:t>，是一所</w:t>
      </w:r>
      <w:r>
        <w:rPr>
          <w:rFonts w:hint="eastAsia" w:eastAsiaTheme="majorEastAsia"/>
          <w:sz w:val="28"/>
          <w:szCs w:val="28"/>
        </w:rPr>
        <w:t>社区</w:t>
      </w:r>
      <w:r>
        <w:rPr>
          <w:rFonts w:eastAsiaTheme="majorEastAsia"/>
          <w:sz w:val="28"/>
          <w:szCs w:val="28"/>
        </w:rPr>
        <w:t>综合性公立医院</w:t>
      </w:r>
      <w:r>
        <w:rPr>
          <w:rFonts w:hint="eastAsia" w:eastAsiaTheme="majorEastAsia"/>
          <w:sz w:val="28"/>
          <w:szCs w:val="28"/>
        </w:rPr>
        <w:t>。</w:t>
      </w:r>
      <w:r>
        <w:rPr>
          <w:rFonts w:eastAsiaTheme="majorEastAsia"/>
          <w:sz w:val="28"/>
          <w:szCs w:val="28"/>
        </w:rPr>
        <w:t>项目总投资</w:t>
      </w:r>
      <w:r>
        <w:rPr>
          <w:rFonts w:hint="eastAsia" w:eastAsiaTheme="majorEastAsia"/>
          <w:sz w:val="28"/>
          <w:szCs w:val="28"/>
        </w:rPr>
        <w:t>400</w:t>
      </w:r>
      <w:r>
        <w:rPr>
          <w:rFonts w:eastAsiaTheme="majorEastAsia"/>
          <w:sz w:val="28"/>
          <w:szCs w:val="28"/>
        </w:rPr>
        <w:t>万元</w:t>
      </w:r>
      <w:r>
        <w:rPr>
          <w:rFonts w:hint="eastAsia" w:eastAsiaTheme="majorEastAsia"/>
          <w:sz w:val="28"/>
          <w:szCs w:val="28"/>
        </w:rPr>
        <w:t>，主要购置</w:t>
      </w:r>
      <w:r>
        <w:rPr>
          <w:rFonts w:eastAsiaTheme="majorEastAsia"/>
          <w:sz w:val="28"/>
          <w:szCs w:val="28"/>
        </w:rPr>
        <w:t>生化分析仪、</w:t>
      </w:r>
      <w:r>
        <w:rPr>
          <w:rFonts w:hint="eastAsia" w:eastAsiaTheme="majorEastAsia"/>
          <w:sz w:val="28"/>
          <w:szCs w:val="28"/>
        </w:rPr>
        <w:t>血沉</w:t>
      </w:r>
      <w:r>
        <w:rPr>
          <w:rFonts w:eastAsiaTheme="majorEastAsia"/>
          <w:sz w:val="28"/>
          <w:szCs w:val="28"/>
        </w:rPr>
        <w:t>分析仪、</w:t>
      </w:r>
      <w:r>
        <w:rPr>
          <w:rFonts w:hint="eastAsia" w:eastAsiaTheme="majorEastAsia"/>
          <w:sz w:val="28"/>
          <w:szCs w:val="28"/>
        </w:rPr>
        <w:t>尿液分析仪等医疗设备</w:t>
      </w:r>
      <w:r>
        <w:rPr>
          <w:rFonts w:eastAsiaTheme="majorEastAsia"/>
          <w:sz w:val="28"/>
          <w:szCs w:val="28"/>
        </w:rPr>
        <w:t>，设有</w:t>
      </w:r>
      <w:r>
        <w:rPr>
          <w:rFonts w:hint="eastAsia" w:eastAsiaTheme="majorEastAsia"/>
          <w:sz w:val="28"/>
          <w:szCs w:val="28"/>
        </w:rPr>
        <w:t>30</w:t>
      </w:r>
      <w:r>
        <w:rPr>
          <w:rFonts w:eastAsiaTheme="majorEastAsia"/>
          <w:sz w:val="28"/>
          <w:szCs w:val="28"/>
        </w:rPr>
        <w:t>张床位，床位利用率为90%。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20</w:t>
      </w:r>
      <w:r>
        <w:rPr>
          <w:rFonts w:hint="eastAsia" w:eastAsiaTheme="majorEastAsia"/>
          <w:sz w:val="28"/>
          <w:szCs w:val="28"/>
        </w:rPr>
        <w:t>18</w:t>
      </w:r>
      <w:r>
        <w:rPr>
          <w:rFonts w:eastAsiaTheme="majorEastAsia"/>
          <w:sz w:val="28"/>
          <w:szCs w:val="28"/>
        </w:rPr>
        <w:t>年</w:t>
      </w:r>
      <w:r>
        <w:rPr>
          <w:rFonts w:hint="eastAsia" w:eastAsiaTheme="majorEastAsia"/>
          <w:sz w:val="28"/>
          <w:szCs w:val="28"/>
        </w:rPr>
        <w:t>9</w:t>
      </w:r>
      <w:r>
        <w:rPr>
          <w:rFonts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东阿县铜城街道办事处社区卫生服务中心</w:t>
      </w:r>
      <w:r>
        <w:rPr>
          <w:rFonts w:eastAsiaTheme="majorEastAsia"/>
          <w:sz w:val="28"/>
          <w:szCs w:val="28"/>
        </w:rPr>
        <w:t>委托</w:t>
      </w:r>
      <w:r>
        <w:rPr>
          <w:sz w:val="28"/>
        </w:rPr>
        <w:t>青岛洁瑞环保技术服务有限公司</w:t>
      </w:r>
      <w:r>
        <w:rPr>
          <w:rFonts w:eastAsiaTheme="majorEastAsia"/>
          <w:sz w:val="28"/>
          <w:szCs w:val="28"/>
        </w:rPr>
        <w:t>编制了《</w:t>
      </w:r>
      <w:r>
        <w:rPr>
          <w:rFonts w:hint="eastAsia" w:eastAsiaTheme="majorEastAsia"/>
          <w:sz w:val="28"/>
          <w:szCs w:val="28"/>
        </w:rPr>
        <w:t>东阿</w:t>
      </w:r>
      <w:r>
        <w:rPr>
          <w:rFonts w:eastAsiaTheme="majorEastAsia"/>
          <w:sz w:val="28"/>
          <w:szCs w:val="28"/>
        </w:rPr>
        <w:t>县</w:t>
      </w:r>
      <w:r>
        <w:rPr>
          <w:rFonts w:hint="eastAsia" w:eastAsiaTheme="majorEastAsia"/>
          <w:sz w:val="28"/>
          <w:szCs w:val="28"/>
        </w:rPr>
        <w:t>铜城社区卫生服务中心</w:t>
      </w:r>
      <w:r>
        <w:rPr>
          <w:rFonts w:eastAsiaTheme="majorEastAsia"/>
          <w:sz w:val="28"/>
          <w:szCs w:val="28"/>
        </w:rPr>
        <w:t>项目环境影响报告表》，2018年10月18日东阿县环境保护局以东环报告表[2018]115号对其进行了审批。201</w:t>
      </w:r>
      <w:r>
        <w:rPr>
          <w:rFonts w:hint="eastAsia" w:eastAsiaTheme="majorEastAsia"/>
          <w:sz w:val="28"/>
          <w:szCs w:val="28"/>
        </w:rPr>
        <w:t>8</w:t>
      </w:r>
      <w:r>
        <w:rPr>
          <w:rFonts w:eastAsiaTheme="majorEastAsia"/>
          <w:sz w:val="28"/>
          <w:szCs w:val="28"/>
        </w:rPr>
        <w:t>年</w:t>
      </w:r>
      <w:r>
        <w:rPr>
          <w:rFonts w:hint="eastAsia" w:eastAsiaTheme="majorEastAsia"/>
          <w:sz w:val="28"/>
          <w:szCs w:val="28"/>
        </w:rPr>
        <w:t>11</w:t>
      </w:r>
      <w:r>
        <w:rPr>
          <w:rFonts w:eastAsiaTheme="majorEastAsia"/>
          <w:sz w:val="28"/>
          <w:szCs w:val="28"/>
        </w:rPr>
        <w:t>月山东聊和环保科技有限公司受</w:t>
      </w:r>
      <w:r>
        <w:rPr>
          <w:rFonts w:hint="eastAsia" w:eastAsiaTheme="majorEastAsia"/>
          <w:sz w:val="28"/>
          <w:szCs w:val="28"/>
        </w:rPr>
        <w:t>院方</w:t>
      </w:r>
      <w:r>
        <w:rPr>
          <w:rFonts w:eastAsiaTheme="majorEastAsia"/>
          <w:sz w:val="28"/>
          <w:szCs w:val="28"/>
        </w:rPr>
        <w:t>委托进行该项目的环保验收监测，并于201</w:t>
      </w:r>
      <w:r>
        <w:rPr>
          <w:rFonts w:hint="eastAsia" w:eastAsiaTheme="majorEastAsia"/>
          <w:sz w:val="28"/>
          <w:szCs w:val="28"/>
        </w:rPr>
        <w:t>8</w:t>
      </w:r>
      <w:r>
        <w:rPr>
          <w:rFonts w:eastAsiaTheme="majorEastAsia"/>
          <w:sz w:val="28"/>
          <w:szCs w:val="28"/>
        </w:rPr>
        <w:t>年</w:t>
      </w:r>
      <w:r>
        <w:rPr>
          <w:rFonts w:hint="eastAsia" w:eastAsiaTheme="majorEastAsia"/>
          <w:sz w:val="28"/>
          <w:szCs w:val="28"/>
        </w:rPr>
        <w:t>11</w:t>
      </w:r>
      <w:r>
        <w:rPr>
          <w:rFonts w:eastAsiaTheme="majorEastAsia"/>
          <w:sz w:val="28"/>
          <w:szCs w:val="28"/>
        </w:rPr>
        <w:t>月</w:t>
      </w:r>
      <w:r>
        <w:rPr>
          <w:rFonts w:hint="eastAsia" w:eastAsiaTheme="majorEastAsia"/>
          <w:sz w:val="28"/>
          <w:szCs w:val="28"/>
        </w:rPr>
        <w:t>29</w:t>
      </w:r>
      <w:r>
        <w:rPr>
          <w:rFonts w:eastAsiaTheme="majorEastAsia"/>
          <w:sz w:val="28"/>
          <w:szCs w:val="28"/>
        </w:rPr>
        <w:t>日—</w:t>
      </w:r>
      <w:r>
        <w:rPr>
          <w:rFonts w:hint="eastAsia" w:eastAsiaTheme="majorEastAsia"/>
          <w:sz w:val="28"/>
          <w:szCs w:val="28"/>
        </w:rPr>
        <w:t>11</w:t>
      </w:r>
      <w:r>
        <w:rPr>
          <w:rFonts w:eastAsiaTheme="majorEastAsia"/>
          <w:sz w:val="28"/>
          <w:szCs w:val="28"/>
        </w:rPr>
        <w:t>月</w:t>
      </w:r>
      <w:r>
        <w:rPr>
          <w:rFonts w:hint="eastAsia" w:eastAsiaTheme="majorEastAsia"/>
          <w:sz w:val="28"/>
          <w:szCs w:val="28"/>
        </w:rPr>
        <w:t>30</w:t>
      </w:r>
      <w:r>
        <w:rPr>
          <w:rFonts w:eastAsiaTheme="majorEastAsia"/>
          <w:sz w:val="28"/>
          <w:szCs w:val="28"/>
        </w:rPr>
        <w:t>日对该项目进行了监测，根据验收监测结果和现场检查情况编制了本验收监测报告。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eastAsiaTheme="majorEastAsia"/>
          <w:color w:val="auto"/>
          <w:sz w:val="28"/>
          <w:szCs w:val="28"/>
        </w:rPr>
      </w:pPr>
      <w:r>
        <w:rPr>
          <w:rFonts w:eastAsiaTheme="majorEastAsia"/>
          <w:sz w:val="28"/>
          <w:szCs w:val="28"/>
        </w:rPr>
        <w:t>实际总投资400万元，其中环</w:t>
      </w:r>
      <w:r>
        <w:rPr>
          <w:rFonts w:eastAsiaTheme="majorEastAsia"/>
          <w:color w:val="auto"/>
          <w:sz w:val="28"/>
          <w:szCs w:val="28"/>
        </w:rPr>
        <w:t>保投资</w:t>
      </w:r>
      <w:r>
        <w:rPr>
          <w:rFonts w:hint="eastAsia" w:eastAsiaTheme="majorEastAsia"/>
          <w:color w:val="auto"/>
          <w:sz w:val="28"/>
          <w:szCs w:val="28"/>
        </w:rPr>
        <w:t>10</w:t>
      </w:r>
      <w:r>
        <w:rPr>
          <w:rFonts w:eastAsiaTheme="majorEastAsia"/>
          <w:color w:val="auto"/>
          <w:sz w:val="28"/>
          <w:szCs w:val="28"/>
        </w:rPr>
        <w:t>万元。占总投</w:t>
      </w:r>
      <w:r>
        <w:rPr>
          <w:rFonts w:hint="eastAsia" w:eastAsiaTheme="majorEastAsia"/>
          <w:color w:val="auto"/>
          <w:sz w:val="28"/>
          <w:szCs w:val="28"/>
        </w:rPr>
        <w:t>2.5</w:t>
      </w:r>
      <w:r>
        <w:rPr>
          <w:rFonts w:eastAsiaTheme="majorEastAsia"/>
          <w:color w:val="auto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color w:val="auto"/>
          <w:sz w:val="24"/>
        </w:rPr>
      </w:pPr>
      <w:r>
        <w:rPr>
          <w:rFonts w:asciiTheme="majorEastAsia" w:hAnsiTheme="majorEastAsia" w:eastAsiaTheme="majorEastAsia"/>
          <w:b/>
          <w:color w:val="auto"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color w:val="auto"/>
          <w:sz w:val="28"/>
          <w:szCs w:val="28"/>
        </w:rPr>
      </w:pPr>
      <w:r>
        <w:rPr>
          <w:rFonts w:hint="eastAsia" w:eastAsiaTheme="majorEastAsia"/>
          <w:color w:val="auto"/>
          <w:sz w:val="28"/>
          <w:szCs w:val="28"/>
        </w:rPr>
        <w:t>东阿</w:t>
      </w:r>
      <w:r>
        <w:rPr>
          <w:rFonts w:eastAsiaTheme="majorEastAsia"/>
          <w:color w:val="auto"/>
          <w:sz w:val="28"/>
          <w:szCs w:val="28"/>
        </w:rPr>
        <w:t>县</w:t>
      </w:r>
      <w:r>
        <w:rPr>
          <w:rFonts w:hint="eastAsia" w:eastAsiaTheme="majorEastAsia"/>
          <w:color w:val="auto"/>
          <w:sz w:val="28"/>
          <w:szCs w:val="28"/>
        </w:rPr>
        <w:t>铜城社区卫生服务中心</w:t>
      </w:r>
      <w:r>
        <w:rPr>
          <w:rFonts w:eastAsiaTheme="majorEastAsia"/>
          <w:color w:val="auto"/>
          <w:sz w:val="28"/>
          <w:szCs w:val="28"/>
        </w:rPr>
        <w:t>项目</w:t>
      </w:r>
      <w:r>
        <w:rPr>
          <w:rFonts w:asciiTheme="majorEastAsia" w:hAnsiTheme="majorEastAsia" w:eastAsiaTheme="majorEastAsia"/>
          <w:color w:val="auto"/>
          <w:sz w:val="28"/>
          <w:szCs w:val="28"/>
        </w:rPr>
        <w:t>及其配套环保设施。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color w:val="auto"/>
          <w:sz w:val="28"/>
          <w:szCs w:val="28"/>
        </w:rPr>
      </w:pPr>
      <w:r>
        <w:rPr>
          <w:rFonts w:asciiTheme="majorEastAsia" w:hAnsiTheme="majorEastAsia" w:eastAsiaTheme="majorEastAsia"/>
          <w:b/>
          <w:color w:val="auto"/>
          <w:sz w:val="28"/>
          <w:szCs w:val="28"/>
        </w:rPr>
        <w:t>二、工程变更情况</w:t>
      </w:r>
    </w:p>
    <w:p>
      <w:pPr>
        <w:pStyle w:val="2"/>
        <w:spacing w:line="360" w:lineRule="auto"/>
        <w:ind w:firstLine="560"/>
        <w:rPr>
          <w:rFonts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</w:rPr>
        <w:t>本工程实际建设情况基本与环评一致，不存在</w:t>
      </w:r>
      <w:r>
        <w:rPr>
          <w:rFonts w:ascii="Times New Roman" w:hAnsi="Times New Roman"/>
          <w:color w:val="auto"/>
        </w:rPr>
        <w:t>重大变更。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三、环境保护设施落实情况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color w:val="auto"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（一）废水</w:t>
      </w:r>
    </w:p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项目废水主要为</w:t>
      </w:r>
      <w:r>
        <w:rPr>
          <w:rFonts w:hint="eastAsia"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医疗废水和</w:t>
      </w:r>
      <w:r>
        <w:rPr>
          <w:rFonts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生活污水。</w:t>
      </w:r>
      <w:r>
        <w:rPr>
          <w:rFonts w:hint="eastAsia"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生活污水和医疗废水</w:t>
      </w:r>
      <w:r>
        <w:rPr>
          <w:rFonts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经厂区污水处理站进行处理后进入市政管网，进入东阿县污水处理厂深度处理后外</w:t>
      </w: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排</w:t>
      </w: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（二）废气</w:t>
      </w:r>
    </w:p>
    <w:p>
      <w:pPr>
        <w:autoSpaceDE w:val="0"/>
        <w:autoSpaceDN w:val="0"/>
        <w:adjustRightInd w:val="0"/>
        <w:spacing w:line="360" w:lineRule="auto"/>
        <w:ind w:firstLine="560" w:firstLineChars="200"/>
        <w:rPr>
          <w:rFonts w:eastAsia="楷体"/>
          <w:sz w:val="24"/>
        </w:rPr>
      </w:pPr>
      <w:r>
        <w:rPr>
          <w:rFonts w:hint="eastAsia"/>
          <w:sz w:val="28"/>
          <w:szCs w:val="28"/>
        </w:rPr>
        <w:t>项目废气主要为污水处理站产生的恶臭。</w:t>
      </w:r>
      <w:r>
        <w:rPr>
          <w:sz w:val="28"/>
          <w:szCs w:val="28"/>
        </w:rPr>
        <w:t>污水处理站产生的恶臭，经无组织排放至大气中。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（三）噪声</w:t>
      </w:r>
    </w:p>
    <w:p>
      <w:pPr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本项目主要噪声</w:t>
      </w:r>
      <w:r>
        <w:rPr>
          <w:rFonts w:hint="eastAsia" w:asciiTheme="majorEastAsia" w:hAnsiTheme="majorEastAsia" w:eastAsiaTheme="majorEastAsia"/>
          <w:sz w:val="28"/>
          <w:szCs w:val="28"/>
        </w:rPr>
        <w:t>主要</w:t>
      </w:r>
      <w:r>
        <w:rPr>
          <w:rFonts w:asciiTheme="majorEastAsia" w:hAnsiTheme="majorEastAsia" w:eastAsiaTheme="majorEastAsia"/>
          <w:sz w:val="28"/>
          <w:szCs w:val="28"/>
        </w:rPr>
        <w:t>为</w:t>
      </w:r>
      <w:r>
        <w:rPr>
          <w:rFonts w:hint="eastAsia" w:asciiTheme="majorEastAsia" w:hAnsiTheme="majorEastAsia" w:eastAsiaTheme="majorEastAsia"/>
          <w:sz w:val="28"/>
          <w:szCs w:val="28"/>
        </w:rPr>
        <w:t>医疗设备及污水处理</w:t>
      </w:r>
      <w:r>
        <w:rPr>
          <w:rFonts w:asciiTheme="majorEastAsia" w:hAnsiTheme="majorEastAsia" w:eastAsiaTheme="majorEastAsia"/>
          <w:sz w:val="28"/>
          <w:szCs w:val="28"/>
        </w:rPr>
        <w:t>等设备运行时产生的噪声。经过隔声</w:t>
      </w:r>
      <w:r>
        <w:rPr>
          <w:rFonts w:hint="eastAsia" w:asciiTheme="majorEastAsia" w:hAnsiTheme="majorEastAsia" w:eastAsiaTheme="majorEastAsia"/>
          <w:sz w:val="28"/>
          <w:szCs w:val="28"/>
        </w:rPr>
        <w:t>、降噪和</w:t>
      </w:r>
      <w:r>
        <w:rPr>
          <w:rFonts w:asciiTheme="majorEastAsia" w:hAnsiTheme="majorEastAsia" w:eastAsiaTheme="majorEastAsia"/>
          <w:sz w:val="28"/>
          <w:szCs w:val="28"/>
        </w:rPr>
        <w:t>距离衰减等降噪措施，降低对外环境的影响。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（四）固体废物</w:t>
      </w:r>
    </w:p>
    <w:p>
      <w:pPr>
        <w:pStyle w:val="16"/>
        <w:spacing w:line="360" w:lineRule="auto"/>
        <w:ind w:firstLine="560"/>
        <w:jc w:val="left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本项目产生的固废包括一般固废和医疗危险废物。</w:t>
      </w:r>
    </w:p>
    <w:p>
      <w:pPr>
        <w:pStyle w:val="16"/>
        <w:spacing w:line="360" w:lineRule="auto"/>
        <w:ind w:firstLine="560"/>
        <w:jc w:val="left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一般固废主要为生活垃圾</w:t>
      </w: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，</w:t>
      </w: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生活垃圾由环卫部门统一清运处理。</w:t>
      </w:r>
    </w:p>
    <w:p>
      <w:pPr>
        <w:pStyle w:val="16"/>
        <w:spacing w:line="360" w:lineRule="auto"/>
        <w:ind w:firstLine="560"/>
        <w:jc w:val="left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医疗危险废物主要为医疗</w:t>
      </w:r>
      <w:r>
        <w:rPr>
          <w:rFonts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废物和污水处理站污泥，</w:t>
      </w:r>
      <w:r>
        <w:rPr>
          <w:rFonts w:hint="eastAsia" w:asciiTheme="majorEastAsia" w:hAnsiTheme="majorEastAsia" w:eastAsiaTheme="majorEastAsia"/>
          <w:snapToGrid w:val="0"/>
          <w:color w:val="auto"/>
          <w:kern w:val="0"/>
          <w:sz w:val="28"/>
          <w:szCs w:val="28"/>
        </w:rPr>
        <w:t>各类</w:t>
      </w: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医疗废物分类收储、暂存，</w:t>
      </w:r>
      <w:r>
        <w:rPr>
          <w:rFonts w:asciiTheme="majorEastAsia" w:hAnsiTheme="majorEastAsia" w:eastAsiaTheme="majorEastAsia"/>
          <w:snapToGrid w:val="0"/>
          <w:kern w:val="0"/>
          <w:sz w:val="28"/>
          <w:szCs w:val="28"/>
        </w:rPr>
        <w:t>收集后委托聊城优艺环保科技有限公司进行无害化处置。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四、验收监测结果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山东聊和环保科技有限公司出具的《</w:t>
      </w:r>
      <w:r>
        <w:rPr>
          <w:rFonts w:hint="eastAsia" w:eastAsiaTheme="majorEastAsia"/>
          <w:sz w:val="28"/>
          <w:szCs w:val="28"/>
        </w:rPr>
        <w:t>东阿</w:t>
      </w:r>
      <w:r>
        <w:rPr>
          <w:rFonts w:eastAsiaTheme="majorEastAsia"/>
          <w:sz w:val="28"/>
          <w:szCs w:val="28"/>
        </w:rPr>
        <w:t>县</w:t>
      </w:r>
      <w:r>
        <w:rPr>
          <w:rFonts w:hint="eastAsia" w:eastAsiaTheme="majorEastAsia"/>
          <w:sz w:val="28"/>
          <w:szCs w:val="28"/>
        </w:rPr>
        <w:t>铜城社区卫生服务中心</w:t>
      </w:r>
      <w:r>
        <w:rPr>
          <w:rFonts w:hint="eastAsia" w:asciiTheme="majorEastAsia" w:hAnsiTheme="majorEastAsia" w:eastAsiaTheme="majorEastAsia"/>
          <w:sz w:val="28"/>
          <w:szCs w:val="28"/>
        </w:rPr>
        <w:t>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1.废气</w:t>
      </w:r>
    </w:p>
    <w:p>
      <w:pPr>
        <w:pStyle w:val="2"/>
        <w:spacing w:line="360" w:lineRule="auto"/>
        <w:ind w:firstLine="56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验收监测期间，无组织臭气浓度、氨、硫化氢小时浓度最高分别为&lt;10</w:t>
      </w:r>
      <w:r>
        <w:rPr>
          <w:rFonts w:hint="eastAsia" w:ascii="Times New Roman" w:hAnsi="Times New Roman"/>
          <w:color w:val="000000"/>
        </w:rPr>
        <w:t>（无量纲）</w:t>
      </w:r>
      <w:r>
        <w:rPr>
          <w:rFonts w:ascii="Times New Roman" w:hAnsi="Times New Roman"/>
          <w:color w:val="000000"/>
        </w:rPr>
        <w:t>、0.22mg/m</w:t>
      </w:r>
      <w:r>
        <w:rPr>
          <w:rFonts w:ascii="Times New Roman" w:hAnsi="Times New Roman"/>
          <w:color w:val="000000"/>
          <w:vertAlign w:val="superscript"/>
        </w:rPr>
        <w:t>3</w:t>
      </w:r>
      <w:r>
        <w:rPr>
          <w:rFonts w:ascii="Times New Roman" w:hAnsi="Times New Roman"/>
          <w:color w:val="000000"/>
        </w:rPr>
        <w:t>、0.021mg/m</w:t>
      </w:r>
      <w:r>
        <w:rPr>
          <w:rFonts w:ascii="Times New Roman" w:hAnsi="Times New Roman"/>
          <w:color w:val="000000"/>
          <w:vertAlign w:val="superscript"/>
        </w:rPr>
        <w:t>3</w:t>
      </w:r>
      <w:r>
        <w:rPr>
          <w:rFonts w:ascii="Times New Roman" w:hAnsi="Times New Roman"/>
          <w:color w:val="000000"/>
        </w:rPr>
        <w:t>，满足《医疗机构水污染物排放标准》（GB18466-2005）表3污水处理站周边大气污染物最高允许浓度的要求。</w:t>
      </w:r>
    </w:p>
    <w:p>
      <w:pPr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2.废水</w:t>
      </w:r>
    </w:p>
    <w:p>
      <w:pPr>
        <w:pStyle w:val="15"/>
        <w:ind w:firstLine="560" w:firstLineChars="200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验收监测期间，</w:t>
      </w:r>
      <w:r>
        <w:rPr>
          <w:rFonts w:ascii="Times New Roman" w:hAnsi="Times New Roman"/>
          <w:sz w:val="28"/>
          <w:szCs w:val="28"/>
        </w:rPr>
        <w:t>总排口监测</w:t>
      </w:r>
      <w:r>
        <w:rPr>
          <w:rFonts w:hint="default" w:ascii="Times New Roman" w:hAnsi="Times New Roman"/>
          <w:sz w:val="28"/>
          <w:szCs w:val="28"/>
        </w:rPr>
        <w:t>pH范围在7.23-7.24，</w:t>
      </w:r>
      <w:r>
        <w:rPr>
          <w:rFonts w:ascii="Times New Roman" w:hAnsi="Times New Roman"/>
          <w:sz w:val="28"/>
          <w:szCs w:val="28"/>
        </w:rPr>
        <w:t>CODcr、BOD</w:t>
      </w:r>
      <w:r>
        <w:rPr>
          <w:rFonts w:ascii="Times New Roman" w:hAnsi="Times New Roman"/>
          <w:sz w:val="28"/>
          <w:szCs w:val="28"/>
          <w:vertAlign w:val="subscript"/>
        </w:rPr>
        <w:t>5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氨氮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悬浮物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总余氯最高排放浓度</w:t>
      </w:r>
      <w:r>
        <w:rPr>
          <w:rFonts w:ascii="Times New Roman" w:hAnsi="Times New Roman"/>
          <w:sz w:val="28"/>
          <w:szCs w:val="28"/>
        </w:rPr>
        <w:t>分别</w:t>
      </w:r>
      <w:r>
        <w:rPr>
          <w:rFonts w:hint="default" w:ascii="Times New Roman" w:hAnsi="Times New Roman"/>
          <w:sz w:val="28"/>
          <w:szCs w:val="28"/>
        </w:rPr>
        <w:t>为28mg/L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8.5mg/L 1.07mg/L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12mg/L</w:t>
      </w:r>
      <w:r>
        <w:rPr>
          <w:rFonts w:ascii="Times New Roman" w:hAnsi="Times New Roman"/>
          <w:sz w:val="28"/>
          <w:szCs w:val="28"/>
        </w:rPr>
        <w:t>、</w:t>
      </w:r>
      <w:r>
        <w:rPr>
          <w:rFonts w:hint="default" w:ascii="Times New Roman" w:hAnsi="Times New Roman"/>
          <w:sz w:val="28"/>
          <w:szCs w:val="28"/>
        </w:rPr>
        <w:t>0.20mg/L，大肠菌群数最高排放浓度为340MPN/L，均满足《医疗机构水污染物排放标准》表2中标准及东阿县污水处理厂进水水质要求。</w:t>
      </w:r>
      <w:bookmarkStart w:id="0" w:name="_GoBack"/>
      <w:bookmarkEnd w:id="0"/>
    </w:p>
    <w:p>
      <w:pPr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3.噪声</w:t>
      </w:r>
    </w:p>
    <w:p>
      <w:pPr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验收监测期间，</w:t>
      </w:r>
      <w:r>
        <w:rPr>
          <w:rFonts w:hint="eastAsia" w:eastAsiaTheme="majorEastAsia"/>
          <w:sz w:val="28"/>
          <w:szCs w:val="28"/>
        </w:rPr>
        <w:t>区界</w:t>
      </w:r>
      <w:r>
        <w:rPr>
          <w:rFonts w:eastAsiaTheme="majorEastAsia"/>
          <w:sz w:val="28"/>
          <w:szCs w:val="28"/>
        </w:rPr>
        <w:t>监测点位昼间噪声在</w:t>
      </w:r>
      <w:r>
        <w:rPr>
          <w:rFonts w:hint="eastAsia" w:eastAsiaTheme="majorEastAsia"/>
          <w:sz w:val="28"/>
          <w:szCs w:val="28"/>
        </w:rPr>
        <w:t>49.5</w:t>
      </w:r>
      <w:r>
        <w:rPr>
          <w:rFonts w:eastAsiaTheme="majorEastAsia"/>
          <w:sz w:val="28"/>
          <w:szCs w:val="28"/>
        </w:rPr>
        <w:t>dB-5</w:t>
      </w:r>
      <w:r>
        <w:rPr>
          <w:rFonts w:hint="eastAsia" w:eastAsiaTheme="majorEastAsia"/>
          <w:sz w:val="28"/>
          <w:szCs w:val="28"/>
        </w:rPr>
        <w:t>3.7</w:t>
      </w:r>
      <w:r>
        <w:rPr>
          <w:rFonts w:eastAsiaTheme="majorEastAsia"/>
          <w:sz w:val="28"/>
          <w:szCs w:val="28"/>
        </w:rPr>
        <w:t>dB之间，夜间噪声在</w:t>
      </w:r>
      <w:r>
        <w:rPr>
          <w:rFonts w:hint="eastAsia" w:eastAsiaTheme="majorEastAsia"/>
          <w:sz w:val="28"/>
          <w:szCs w:val="28"/>
        </w:rPr>
        <w:t>39.1</w:t>
      </w:r>
      <w:r>
        <w:rPr>
          <w:rFonts w:eastAsiaTheme="majorEastAsia"/>
          <w:sz w:val="28"/>
          <w:szCs w:val="28"/>
        </w:rPr>
        <w:t>dB-</w:t>
      </w:r>
      <w:r>
        <w:rPr>
          <w:rFonts w:hint="eastAsia" w:eastAsiaTheme="majorEastAsia"/>
          <w:sz w:val="28"/>
          <w:szCs w:val="28"/>
        </w:rPr>
        <w:t>44.8</w:t>
      </w:r>
      <w:r>
        <w:rPr>
          <w:rFonts w:eastAsiaTheme="majorEastAsia"/>
          <w:sz w:val="28"/>
          <w:szCs w:val="28"/>
        </w:rPr>
        <w:t>dB之间，符合《社会生活环境噪声排放标准》（GB22337－2008）</w:t>
      </w:r>
      <w:r>
        <w:rPr>
          <w:rFonts w:hint="eastAsia" w:eastAsiaTheme="majorEastAsia"/>
          <w:sz w:val="28"/>
          <w:szCs w:val="28"/>
        </w:rPr>
        <w:t>中</w:t>
      </w:r>
      <w:r>
        <w:rPr>
          <w:rFonts w:eastAsiaTheme="majorEastAsia"/>
          <w:sz w:val="28"/>
          <w:szCs w:val="28"/>
        </w:rPr>
        <w:t>的2类标准限值要求。</w:t>
      </w:r>
    </w:p>
    <w:p>
      <w:pPr>
        <w:spacing w:line="360" w:lineRule="auto"/>
        <w:ind w:firstLine="560" w:firstLineChars="20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3.固体</w:t>
      </w:r>
      <w:r>
        <w:rPr>
          <w:rFonts w:hint="eastAsia" w:eastAsiaTheme="majorEastAsia"/>
          <w:sz w:val="28"/>
          <w:szCs w:val="28"/>
        </w:rPr>
        <w:t>/医疗</w:t>
      </w:r>
      <w:r>
        <w:rPr>
          <w:rFonts w:eastAsiaTheme="majorEastAsia"/>
          <w:sz w:val="28"/>
          <w:szCs w:val="28"/>
        </w:rPr>
        <w:t>废物</w:t>
      </w:r>
    </w:p>
    <w:p>
      <w:pPr>
        <w:spacing w:line="360" w:lineRule="auto"/>
        <w:ind w:firstLine="560" w:firstLineChars="200"/>
        <w:rPr>
          <w:rFonts w:eastAsiaTheme="majorEastAsia"/>
          <w:snapToGrid w:val="0"/>
          <w:kern w:val="0"/>
          <w:sz w:val="28"/>
          <w:szCs w:val="28"/>
        </w:rPr>
      </w:pPr>
      <w:r>
        <w:rPr>
          <w:rFonts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公司</w:t>
      </w:r>
      <w:r>
        <w:rPr>
          <w:rFonts w:asciiTheme="majorEastAsia" w:hAnsiTheme="majorEastAsia" w:eastAsiaTheme="majorEastAsia"/>
          <w:sz w:val="28"/>
          <w:szCs w:val="28"/>
        </w:rPr>
        <w:t>制定了《环保管理制度》，并设立了相关机构。日常工作由</w:t>
      </w:r>
      <w:r>
        <w:rPr>
          <w:rFonts w:hint="eastAsia" w:asciiTheme="majorEastAsia" w:hAnsiTheme="majorEastAsia" w:eastAsiaTheme="majorEastAsia"/>
          <w:sz w:val="28"/>
          <w:szCs w:val="28"/>
        </w:rPr>
        <w:t>办公室</w:t>
      </w:r>
      <w:r>
        <w:rPr>
          <w:rFonts w:asciiTheme="majorEastAsia" w:hAnsiTheme="majorEastAsia" w:eastAsiaTheme="majorEastAsia"/>
          <w:sz w:val="28"/>
          <w:szCs w:val="28"/>
        </w:rPr>
        <w:t>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该项目实施过程中按照环评及其批复要求落实了相关环保措施，建立了相应的环保管理制度，项目建设过程无重大变更。验收监测各项指标满足国家相关排放标准。</w:t>
      </w:r>
    </w:p>
    <w:p>
      <w:pPr>
        <w:tabs>
          <w:tab w:val="left" w:pos="5955"/>
          <w:tab w:val="left" w:pos="6095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六、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后续要求</w:t>
      </w:r>
    </w:p>
    <w:p>
      <w:pPr>
        <w:ind w:firstLine="570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1、进一步对标</w:t>
      </w:r>
      <w:r>
        <w:rPr>
          <w:rFonts w:hint="default" w:ascii="Times New Roman" w:hAnsi="Times New Roman" w:eastAsia="楷体" w:cs="Times New Roman"/>
          <w:sz w:val="24"/>
        </w:rPr>
        <w:t>《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医疗机构水污染物排放标准》，加强医疗废水消毒管理,并配设外排水余氯检测能力。</w:t>
      </w:r>
    </w:p>
    <w:p>
      <w:pPr>
        <w:ind w:firstLine="570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参照</w:t>
      </w:r>
      <w:r>
        <w:rPr>
          <w:rFonts w:hint="default" w:ascii="Times New Roman" w:hAnsi="Times New Roman" w:eastAsia="楷体" w:cs="Times New Roman"/>
          <w:sz w:val="24"/>
        </w:rPr>
        <w:t>《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医院污水处理工程技术规范》第5款、第6.3.4款，适时建立双套消毒配置，满足“一用一备”要求；加强对污水处理站运维管理（第12款）。</w:t>
      </w:r>
    </w:p>
    <w:p>
      <w:pPr>
        <w:pStyle w:val="16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2、加强医疗废物管理：对标《医疗废物分类目录》、《医疗废物管理条例》和属地对医疗废物的管理要求执行。作好分类，完善收/储/运等台账记录。</w:t>
      </w:r>
    </w:p>
    <w:p>
      <w:pPr>
        <w:pStyle w:val="16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3、鉴于山东省《医疗污染物排放标准》（DB37/596-2006）即将修订，院方应跟踪上述标准颁行进度，及时满足新颁标准要求。</w:t>
      </w:r>
    </w:p>
    <w:p>
      <w:pPr>
        <w:pStyle w:val="16"/>
        <w:spacing w:line="360" w:lineRule="auto"/>
        <w:ind w:firstLine="56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4、加强污水站、医废管理人员的卫生防护（见上段规范 第10款）。</w:t>
      </w:r>
    </w:p>
    <w:p>
      <w:pPr>
        <w:pStyle w:val="2"/>
        <w:ind w:firstLine="562"/>
        <w:rPr>
          <w:rFonts w:asciiTheme="majorEastAsia" w:hAnsiTheme="majorEastAsia" w:eastAsiaTheme="majorEastAsia"/>
          <w:b/>
        </w:rPr>
      </w:pPr>
      <w:r>
        <w:rPr>
          <w:rFonts w:hint="eastAsia" w:asciiTheme="majorEastAsia" w:hAnsiTheme="majorEastAsia" w:eastAsiaTheme="majorEastAsia"/>
          <w:b/>
        </w:rPr>
        <w:t>七、验收组名单</w:t>
      </w:r>
    </w:p>
    <w:p>
      <w:pPr>
        <w:pStyle w:val="2"/>
        <w:ind w:firstLine="560"/>
        <w:rPr>
          <w:rFonts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见附件。</w:t>
      </w:r>
    </w:p>
    <w:p>
      <w:pPr>
        <w:pStyle w:val="2"/>
        <w:ind w:firstLine="0" w:firstLineChars="0"/>
        <w:rPr>
          <w:rFonts w:asciiTheme="majorEastAsia" w:hAnsiTheme="majorEastAsia" w:eastAsiaTheme="majorEastAsia"/>
        </w:rPr>
      </w:pPr>
    </w:p>
    <w:p>
      <w:pPr>
        <w:pStyle w:val="2"/>
        <w:ind w:firstLine="0" w:firstLineChars="0"/>
        <w:rPr>
          <w:rFonts w:asciiTheme="majorEastAsia" w:hAnsiTheme="majorEastAsia" w:eastAsiaTheme="majorEastAsia"/>
        </w:rPr>
      </w:pPr>
    </w:p>
    <w:p>
      <w:pPr>
        <w:pStyle w:val="2"/>
        <w:ind w:firstLine="0" w:firstLineChars="0"/>
        <w:rPr>
          <w:rFonts w:asciiTheme="majorEastAsia" w:hAnsiTheme="majorEastAsia" w:eastAsiaTheme="majorEastAsia"/>
        </w:rPr>
      </w:pPr>
    </w:p>
    <w:p>
      <w:pPr>
        <w:spacing w:line="360" w:lineRule="auto"/>
        <w:ind w:firstLine="3080" w:firstLineChars="1100"/>
        <w:jc w:val="both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t>东阿县铜城街道办事处社区卫生服务中心验收组</w:t>
      </w:r>
    </w:p>
    <w:p>
      <w:pPr>
        <w:spacing w:line="360" w:lineRule="auto"/>
        <w:ind w:firstLine="5320" w:firstLineChars="1900"/>
        <w:rPr>
          <w:rFonts w:eastAsiaTheme="majorEastAsia"/>
        </w:rPr>
      </w:pPr>
      <w:r>
        <w:rPr>
          <w:rFonts w:eastAsiaTheme="majorEastAsia"/>
          <w:sz w:val="28"/>
          <w:szCs w:val="28"/>
        </w:rPr>
        <w:t xml:space="preserve"> 2019年</w:t>
      </w:r>
      <w:r>
        <w:rPr>
          <w:rFonts w:hint="eastAsia" w:eastAsiaTheme="majorEastAsia"/>
          <w:sz w:val="28"/>
          <w:szCs w:val="28"/>
        </w:rPr>
        <w:t>3</w:t>
      </w:r>
      <w:r>
        <w:rPr>
          <w:rFonts w:eastAsiaTheme="majorEastAsia"/>
          <w:sz w:val="28"/>
          <w:szCs w:val="28"/>
        </w:rPr>
        <w:t>月</w:t>
      </w:r>
      <w:r>
        <w:rPr>
          <w:rFonts w:hint="eastAsia" w:eastAsiaTheme="majorEastAsia"/>
          <w:sz w:val="28"/>
          <w:szCs w:val="28"/>
        </w:rPr>
        <w:t>8</w:t>
      </w:r>
      <w:r>
        <w:rPr>
          <w:rFonts w:eastAsiaTheme="majorEastAsia"/>
          <w:sz w:val="28"/>
          <w:szCs w:val="28"/>
        </w:rPr>
        <w:t>日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880"/>
    <w:rsid w:val="00071917"/>
    <w:rsid w:val="00084955"/>
    <w:rsid w:val="001228F1"/>
    <w:rsid w:val="00127F44"/>
    <w:rsid w:val="00143251"/>
    <w:rsid w:val="001905A1"/>
    <w:rsid w:val="001A0880"/>
    <w:rsid w:val="002C5B13"/>
    <w:rsid w:val="002E1900"/>
    <w:rsid w:val="002E1F77"/>
    <w:rsid w:val="00342352"/>
    <w:rsid w:val="00350EB5"/>
    <w:rsid w:val="00356338"/>
    <w:rsid w:val="00361865"/>
    <w:rsid w:val="00372F77"/>
    <w:rsid w:val="0043412A"/>
    <w:rsid w:val="00456A2F"/>
    <w:rsid w:val="004A6ED1"/>
    <w:rsid w:val="004B3592"/>
    <w:rsid w:val="00522908"/>
    <w:rsid w:val="00572A31"/>
    <w:rsid w:val="00592E76"/>
    <w:rsid w:val="005A6E92"/>
    <w:rsid w:val="005B5FC1"/>
    <w:rsid w:val="005D61BF"/>
    <w:rsid w:val="0060420F"/>
    <w:rsid w:val="00740D9A"/>
    <w:rsid w:val="007B4261"/>
    <w:rsid w:val="007C33D0"/>
    <w:rsid w:val="00895FF6"/>
    <w:rsid w:val="0091646F"/>
    <w:rsid w:val="009244F3"/>
    <w:rsid w:val="00993254"/>
    <w:rsid w:val="009A1662"/>
    <w:rsid w:val="009B54DE"/>
    <w:rsid w:val="009E69AC"/>
    <w:rsid w:val="00A42734"/>
    <w:rsid w:val="00B65950"/>
    <w:rsid w:val="00B82273"/>
    <w:rsid w:val="00BB0A3F"/>
    <w:rsid w:val="00BB6087"/>
    <w:rsid w:val="00C215FA"/>
    <w:rsid w:val="00C35809"/>
    <w:rsid w:val="00CA44BE"/>
    <w:rsid w:val="00D4476F"/>
    <w:rsid w:val="00E33CC9"/>
    <w:rsid w:val="00E37A97"/>
    <w:rsid w:val="00E60292"/>
    <w:rsid w:val="00E74A2C"/>
    <w:rsid w:val="00EA6757"/>
    <w:rsid w:val="00EB720A"/>
    <w:rsid w:val="00F252EC"/>
    <w:rsid w:val="00F86ECE"/>
    <w:rsid w:val="00FD0FB6"/>
    <w:rsid w:val="00FE0CA7"/>
    <w:rsid w:val="01ED3F9D"/>
    <w:rsid w:val="06C81383"/>
    <w:rsid w:val="06DB5F8F"/>
    <w:rsid w:val="07A55512"/>
    <w:rsid w:val="090C6538"/>
    <w:rsid w:val="0B055D8B"/>
    <w:rsid w:val="0BB105F9"/>
    <w:rsid w:val="0BCD78E3"/>
    <w:rsid w:val="0BD4352F"/>
    <w:rsid w:val="0EAD7432"/>
    <w:rsid w:val="0F5C46C2"/>
    <w:rsid w:val="0FF7137B"/>
    <w:rsid w:val="107D6153"/>
    <w:rsid w:val="111471ED"/>
    <w:rsid w:val="13242E95"/>
    <w:rsid w:val="14471376"/>
    <w:rsid w:val="14654456"/>
    <w:rsid w:val="176C6CB9"/>
    <w:rsid w:val="18100048"/>
    <w:rsid w:val="18AC3B55"/>
    <w:rsid w:val="18D05E89"/>
    <w:rsid w:val="19776944"/>
    <w:rsid w:val="199B4B18"/>
    <w:rsid w:val="199C6128"/>
    <w:rsid w:val="19BD6A9B"/>
    <w:rsid w:val="1A052A94"/>
    <w:rsid w:val="1AAF6CA7"/>
    <w:rsid w:val="1BB8376E"/>
    <w:rsid w:val="1C135415"/>
    <w:rsid w:val="1C9713D3"/>
    <w:rsid w:val="1E6868C3"/>
    <w:rsid w:val="1E6E0F57"/>
    <w:rsid w:val="21CE7E4B"/>
    <w:rsid w:val="22271ADE"/>
    <w:rsid w:val="22A72464"/>
    <w:rsid w:val="22EB1CF2"/>
    <w:rsid w:val="24A41C66"/>
    <w:rsid w:val="259D4021"/>
    <w:rsid w:val="26487FAB"/>
    <w:rsid w:val="273C4417"/>
    <w:rsid w:val="27420539"/>
    <w:rsid w:val="27A83409"/>
    <w:rsid w:val="2A4101B1"/>
    <w:rsid w:val="2AE667BA"/>
    <w:rsid w:val="2BFB35B9"/>
    <w:rsid w:val="2C2D0B50"/>
    <w:rsid w:val="2D455843"/>
    <w:rsid w:val="2FA85A4B"/>
    <w:rsid w:val="2FF534EC"/>
    <w:rsid w:val="30CB2781"/>
    <w:rsid w:val="31572BC2"/>
    <w:rsid w:val="33775C0A"/>
    <w:rsid w:val="33A160A5"/>
    <w:rsid w:val="349A3D27"/>
    <w:rsid w:val="3521515C"/>
    <w:rsid w:val="3608178F"/>
    <w:rsid w:val="36B063A8"/>
    <w:rsid w:val="378F40F5"/>
    <w:rsid w:val="37C4153C"/>
    <w:rsid w:val="3800281E"/>
    <w:rsid w:val="38551EF2"/>
    <w:rsid w:val="3B2962D5"/>
    <w:rsid w:val="3BB70C00"/>
    <w:rsid w:val="3FDD2C6F"/>
    <w:rsid w:val="4021784B"/>
    <w:rsid w:val="41CB3626"/>
    <w:rsid w:val="42072DAE"/>
    <w:rsid w:val="42D02360"/>
    <w:rsid w:val="440B2C50"/>
    <w:rsid w:val="44801C86"/>
    <w:rsid w:val="4498727E"/>
    <w:rsid w:val="45B12AB5"/>
    <w:rsid w:val="46165F99"/>
    <w:rsid w:val="4848218B"/>
    <w:rsid w:val="4950650E"/>
    <w:rsid w:val="4AA80130"/>
    <w:rsid w:val="4CAE592A"/>
    <w:rsid w:val="4CB3067E"/>
    <w:rsid w:val="4EDF6355"/>
    <w:rsid w:val="4F036D8F"/>
    <w:rsid w:val="4FC817EA"/>
    <w:rsid w:val="51964D40"/>
    <w:rsid w:val="52082039"/>
    <w:rsid w:val="52300633"/>
    <w:rsid w:val="54054205"/>
    <w:rsid w:val="547348A8"/>
    <w:rsid w:val="54A46E50"/>
    <w:rsid w:val="56A63526"/>
    <w:rsid w:val="58431AC0"/>
    <w:rsid w:val="58B10433"/>
    <w:rsid w:val="594B49AE"/>
    <w:rsid w:val="5AC35F4A"/>
    <w:rsid w:val="5AD75B85"/>
    <w:rsid w:val="5BC66C55"/>
    <w:rsid w:val="5C84021F"/>
    <w:rsid w:val="5F0C4CFF"/>
    <w:rsid w:val="5FD47A1A"/>
    <w:rsid w:val="614D2684"/>
    <w:rsid w:val="62DA433C"/>
    <w:rsid w:val="63AB437E"/>
    <w:rsid w:val="65826A80"/>
    <w:rsid w:val="65F40410"/>
    <w:rsid w:val="66FB5067"/>
    <w:rsid w:val="68F15EE1"/>
    <w:rsid w:val="6A4209DB"/>
    <w:rsid w:val="6ABA50EB"/>
    <w:rsid w:val="6DEB0CC4"/>
    <w:rsid w:val="6DF43CEC"/>
    <w:rsid w:val="6EB34CD5"/>
    <w:rsid w:val="6F55154A"/>
    <w:rsid w:val="6F552292"/>
    <w:rsid w:val="71544088"/>
    <w:rsid w:val="717B6F2E"/>
    <w:rsid w:val="72321631"/>
    <w:rsid w:val="732B48DD"/>
    <w:rsid w:val="744A64E8"/>
    <w:rsid w:val="77314A22"/>
    <w:rsid w:val="77930543"/>
    <w:rsid w:val="78166BAC"/>
    <w:rsid w:val="790D5050"/>
    <w:rsid w:val="79F74EBF"/>
    <w:rsid w:val="7F291A0B"/>
    <w:rsid w:val="7F427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annotation text"/>
    <w:basedOn w:val="1"/>
    <w:link w:val="20"/>
    <w:unhideWhenUsed/>
    <w:qFormat/>
    <w:uiPriority w:val="0"/>
    <w:pPr>
      <w:jc w:val="left"/>
    </w:pPr>
  </w:style>
  <w:style w:type="paragraph" w:styleId="5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6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7">
    <w:name w:val="Balloon Text"/>
    <w:basedOn w:val="1"/>
    <w:link w:val="22"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4"/>
    <w:next w:val="4"/>
    <w:link w:val="21"/>
    <w:qFormat/>
    <w:uiPriority w:val="0"/>
    <w:rPr>
      <w:b/>
      <w:bCs/>
    </w:rPr>
  </w:style>
  <w:style w:type="table" w:styleId="12">
    <w:name w:val="Table Grid"/>
    <w:basedOn w:val="11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8">
    <w:name w:val="页眉 Char"/>
    <w:basedOn w:val="13"/>
    <w:link w:val="9"/>
    <w:qFormat/>
    <w:uiPriority w:val="0"/>
    <w:rPr>
      <w:kern w:val="2"/>
      <w:sz w:val="18"/>
      <w:szCs w:val="18"/>
    </w:rPr>
  </w:style>
  <w:style w:type="character" w:customStyle="1" w:styleId="19">
    <w:name w:val="页脚 Char"/>
    <w:basedOn w:val="13"/>
    <w:link w:val="8"/>
    <w:qFormat/>
    <w:uiPriority w:val="0"/>
    <w:rPr>
      <w:kern w:val="2"/>
      <w:sz w:val="18"/>
      <w:szCs w:val="18"/>
    </w:rPr>
  </w:style>
  <w:style w:type="character" w:customStyle="1" w:styleId="20">
    <w:name w:val="批注文字 Char"/>
    <w:basedOn w:val="13"/>
    <w:link w:val="4"/>
    <w:qFormat/>
    <w:uiPriority w:val="0"/>
    <w:rPr>
      <w:kern w:val="2"/>
      <w:sz w:val="21"/>
      <w:szCs w:val="24"/>
    </w:rPr>
  </w:style>
  <w:style w:type="character" w:customStyle="1" w:styleId="21">
    <w:name w:val="批注主题 Char"/>
    <w:basedOn w:val="20"/>
    <w:link w:val="10"/>
    <w:qFormat/>
    <w:uiPriority w:val="0"/>
  </w:style>
  <w:style w:type="character" w:customStyle="1" w:styleId="22">
    <w:name w:val="批注框文本 Char"/>
    <w:basedOn w:val="13"/>
    <w:link w:val="7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1010</Words>
  <Characters>1113</Characters>
  <Lines>50</Lines>
  <Paragraphs>54</Paragraphs>
  <TotalTime>196</TotalTime>
  <ScaleCrop>false</ScaleCrop>
  <LinksUpToDate>false</LinksUpToDate>
  <CharactersWithSpaces>2069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2019-08-19T02:28:24Z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