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lang w:val="en-US" w:eastAsia="zh-CN"/>
        </w:rPr>
        <w:t>东阿县旭升钢球有限公司钢球生产项目（一期）竣工</w:t>
      </w:r>
      <w:r>
        <w:rPr>
          <w:rFonts w:hint="default" w:ascii="Times New Roman" w:hAnsi="Times New Roman" w:eastAsia="宋体" w:cs="Times New Roman"/>
          <w:b/>
          <w:color w:val="auto"/>
          <w:sz w:val="28"/>
          <w:szCs w:val="28"/>
        </w:rPr>
        <w:t>环境保护</w:t>
      </w:r>
    </w:p>
    <w:p>
      <w:pPr>
        <w:tabs>
          <w:tab w:val="left" w:pos="360"/>
        </w:tabs>
        <w:spacing w:line="360" w:lineRule="auto"/>
        <w:ind w:left="298" w:leftChars="142"/>
        <w:jc w:val="center"/>
        <w:rPr>
          <w:rFonts w:hint="default" w:ascii="Times New Roman" w:hAnsi="Times New Roman" w:eastAsia="宋体" w:cs="Times New Roman"/>
          <w:b/>
          <w:color w:val="auto"/>
          <w:sz w:val="28"/>
          <w:szCs w:val="28"/>
        </w:rPr>
      </w:pPr>
      <w:r>
        <w:rPr>
          <w:rFonts w:hint="default" w:ascii="Times New Roman" w:hAnsi="Times New Roman" w:eastAsia="宋体" w:cs="Times New Roman"/>
          <w:b/>
          <w:color w:val="auto"/>
          <w:sz w:val="28"/>
          <w:szCs w:val="28"/>
        </w:rPr>
        <w:t>验收现场检查及验收工作组验收意见</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rPr>
        <w:t>201</w:t>
      </w:r>
      <w:r>
        <w:rPr>
          <w:rFonts w:hint="default"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年</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月</w:t>
      </w:r>
      <w:r>
        <w:rPr>
          <w:rFonts w:hint="default" w:ascii="Times New Roman" w:hAnsi="Times New Roman" w:eastAsia="宋体" w:cs="Times New Roman"/>
          <w:color w:val="auto"/>
          <w:sz w:val="24"/>
          <w:szCs w:val="24"/>
          <w:highlight w:val="none"/>
          <w:lang w:val="en-US" w:eastAsia="zh-CN"/>
        </w:rPr>
        <w:t>22</w:t>
      </w:r>
      <w:r>
        <w:rPr>
          <w:rFonts w:hint="default" w:ascii="Times New Roman" w:hAnsi="Times New Roman" w:eastAsia="宋体" w:cs="Times New Roman"/>
          <w:color w:val="auto"/>
          <w:sz w:val="24"/>
          <w:szCs w:val="24"/>
          <w:highlight w:val="none"/>
        </w:rPr>
        <w:t>日</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东阿县旭升钢球有限公司</w:t>
      </w:r>
      <w:r>
        <w:rPr>
          <w:rFonts w:hint="default" w:ascii="Times New Roman" w:hAnsi="Times New Roman" w:eastAsia="宋体" w:cs="Times New Roman"/>
          <w:color w:val="auto"/>
          <w:sz w:val="24"/>
          <w:szCs w:val="24"/>
          <w:highlight w:val="none"/>
        </w:rPr>
        <w:t>组织召开</w:t>
      </w:r>
      <w:r>
        <w:rPr>
          <w:rFonts w:hint="default" w:ascii="Times New Roman" w:hAnsi="Times New Roman" w:eastAsia="宋体" w:cs="Times New Roman"/>
          <w:color w:val="auto"/>
          <w:sz w:val="24"/>
          <w:szCs w:val="24"/>
          <w:highlight w:val="none"/>
          <w:lang w:val="en-US" w:eastAsia="zh-CN"/>
        </w:rPr>
        <w:t>钢球生产项目（一期）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default" w:ascii="Times New Roman" w:hAnsi="Times New Roman" w:eastAsia="宋体" w:cs="Times New Roman"/>
          <w:color w:val="auto"/>
          <w:sz w:val="24"/>
          <w:szCs w:val="24"/>
          <w:lang w:val="en-US" w:eastAsia="zh-CN"/>
        </w:rPr>
        <w:t>东阿县旭升钢球有限公司</w:t>
      </w:r>
      <w:r>
        <w:rPr>
          <w:rFonts w:hint="default" w:ascii="Times New Roman" w:hAnsi="Times New Roman" w:eastAsia="宋体" w:cs="Times New Roman"/>
          <w:color w:val="auto"/>
          <w:sz w:val="24"/>
          <w:szCs w:val="24"/>
        </w:rPr>
        <w:t>）、环评单位（</w:t>
      </w:r>
      <w:r>
        <w:rPr>
          <w:rFonts w:hint="default" w:ascii="Times New Roman" w:hAnsi="Times New Roman" w:eastAsia="宋体" w:cs="Times New Roman"/>
          <w:color w:val="auto"/>
          <w:sz w:val="24"/>
          <w:szCs w:val="24"/>
          <w:lang w:val="en-US" w:eastAsia="zh-CN"/>
        </w:rPr>
        <w:t>聊城市环境科学工程设计院有限公司</w:t>
      </w:r>
      <w:r>
        <w:rPr>
          <w:rFonts w:hint="default" w:ascii="Times New Roman" w:hAnsi="Times New Roman" w:eastAsia="宋体" w:cs="Times New Roman"/>
          <w:color w:val="auto"/>
          <w:sz w:val="24"/>
          <w:szCs w:val="24"/>
        </w:rPr>
        <w:t>）、监测单位（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项目建设地点位于</w:t>
      </w:r>
      <w:r>
        <w:rPr>
          <w:rFonts w:hint="default" w:ascii="Times New Roman" w:hAnsi="Times New Roman" w:eastAsia="宋体" w:cs="Times New Roman"/>
          <w:color w:val="auto"/>
          <w:sz w:val="24"/>
          <w:szCs w:val="24"/>
          <w:highlight w:val="none"/>
          <w:lang w:val="en-US" w:eastAsia="zh-CN"/>
        </w:rPr>
        <w:t>东阿县铜城办事处南、铜鱼路北段路西</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项目总投资</w:t>
      </w:r>
      <w:r>
        <w:rPr>
          <w:rFonts w:hint="default" w:ascii="Times New Roman" w:hAnsi="Times New Roman" w:eastAsia="宋体" w:cs="Times New Roman"/>
          <w:color w:val="auto"/>
          <w:sz w:val="24"/>
          <w:szCs w:val="24"/>
          <w:highlight w:val="none"/>
          <w:lang w:val="en-US" w:eastAsia="zh-CN"/>
        </w:rPr>
        <w:t>150万</w:t>
      </w:r>
      <w:r>
        <w:rPr>
          <w:rFonts w:hint="default" w:ascii="Times New Roman" w:hAnsi="Times New Roman" w:eastAsia="宋体" w:cs="Times New Roman"/>
          <w:color w:val="auto"/>
          <w:sz w:val="24"/>
          <w:szCs w:val="24"/>
          <w:highlight w:val="none"/>
          <w:lang w:eastAsia="zh-CN"/>
        </w:rPr>
        <w:t>元，建设钢球生产项目，项目占地面积</w:t>
      </w:r>
      <w:r>
        <w:rPr>
          <w:rFonts w:hint="default" w:ascii="Times New Roman" w:hAnsi="Times New Roman" w:eastAsia="宋体" w:cs="Times New Roman"/>
          <w:color w:val="auto"/>
          <w:sz w:val="24"/>
          <w:szCs w:val="24"/>
          <w:highlight w:val="none"/>
          <w:lang w:val="en-US" w:eastAsia="zh-CN"/>
        </w:rPr>
        <w:t>900</w:t>
      </w:r>
      <w:r>
        <w:rPr>
          <w:rFonts w:hint="default" w:ascii="Times New Roman" w:hAnsi="Times New Roman" w:eastAsia="宋体" w:cs="Times New Roman"/>
          <w:color w:val="auto"/>
          <w:sz w:val="24"/>
          <w:szCs w:val="24"/>
          <w:highlight w:val="none"/>
          <w:lang w:eastAsia="zh-CN"/>
        </w:rPr>
        <w:t>平方米，购置</w:t>
      </w:r>
      <w:r>
        <w:rPr>
          <w:rFonts w:hint="default" w:ascii="Times New Roman" w:hAnsi="Times New Roman" w:eastAsia="宋体" w:cs="Times New Roman"/>
          <w:color w:val="auto"/>
          <w:sz w:val="24"/>
          <w:szCs w:val="24"/>
          <w:highlight w:val="none"/>
          <w:lang w:val="en-US" w:eastAsia="zh-CN"/>
        </w:rPr>
        <w:t>磨球机、精研机及选球机</w:t>
      </w:r>
      <w:r>
        <w:rPr>
          <w:rFonts w:hint="default" w:ascii="Times New Roman" w:hAnsi="Times New Roman" w:eastAsia="宋体" w:cs="Times New Roman"/>
          <w:color w:val="auto"/>
          <w:sz w:val="24"/>
          <w:szCs w:val="24"/>
          <w:highlight w:val="none"/>
          <w:lang w:eastAsia="zh-CN"/>
        </w:rPr>
        <w:t>等设备及其环保设施，</w:t>
      </w:r>
      <w:r>
        <w:rPr>
          <w:rFonts w:hint="default" w:ascii="Times New Roman" w:hAnsi="Times New Roman" w:eastAsia="宋体" w:cs="Times New Roman"/>
          <w:color w:val="auto"/>
          <w:sz w:val="24"/>
          <w:szCs w:val="24"/>
          <w:highlight w:val="none"/>
          <w:lang w:val="en-US" w:eastAsia="zh-CN"/>
        </w:rPr>
        <w:t>为公司的发展奠定良好的基础</w:t>
      </w:r>
      <w:r>
        <w:rPr>
          <w:rFonts w:hint="default" w:ascii="Times New Roman" w:hAnsi="Times New Roman" w:eastAsia="宋体" w:cs="Times New Roman"/>
          <w:color w:val="auto"/>
          <w:sz w:val="24"/>
          <w:szCs w:val="24"/>
          <w:highlight w:val="none"/>
        </w:rPr>
        <w:t>。</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由于本项目设备中光球机未上，光球工序暂时外协，应分期验收，本次验收为一期，投资100万元，年产200吨钢球。</w:t>
      </w:r>
      <w:bookmarkStart w:id="0" w:name="_GoBack"/>
      <w:bookmarkEnd w:id="0"/>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（二）环保审批情况</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2017年11月东阿县旭升钢球有限公司</w:t>
      </w:r>
      <w:r>
        <w:rPr>
          <w:rFonts w:hint="default" w:ascii="Times New Roman" w:hAnsi="Times New Roman" w:eastAsia="宋体" w:cs="Times New Roman"/>
          <w:color w:val="auto"/>
          <w:sz w:val="24"/>
          <w:szCs w:val="24"/>
          <w:highlight w:val="none"/>
          <w:lang w:val="en-US" w:eastAsia="zh-CN"/>
        </w:rPr>
        <w:t>委托聊城市环境科学工程设计院有限公司</w:t>
      </w:r>
      <w:r>
        <w:rPr>
          <w:rFonts w:hint="default" w:ascii="Times New Roman" w:hAnsi="Times New Roman" w:eastAsia="宋体" w:cs="Times New Roman"/>
          <w:color w:val="auto"/>
          <w:sz w:val="24"/>
          <w:szCs w:val="24"/>
          <w:highlight w:val="none"/>
        </w:rPr>
        <w:t>编制了《</w:t>
      </w:r>
      <w:r>
        <w:rPr>
          <w:rFonts w:hint="default" w:ascii="Times New Roman" w:hAnsi="Times New Roman" w:eastAsia="宋体" w:cs="Times New Roman"/>
          <w:color w:val="auto"/>
          <w:sz w:val="24"/>
          <w:szCs w:val="24"/>
          <w:highlight w:val="none"/>
          <w:lang w:eastAsia="zh-CN"/>
        </w:rPr>
        <w:t>东阿县旭升钢球有限公司</w:t>
      </w:r>
      <w:r>
        <w:rPr>
          <w:rFonts w:hint="default" w:ascii="Times New Roman" w:hAnsi="Times New Roman" w:eastAsia="宋体" w:cs="Times New Roman"/>
          <w:color w:val="auto"/>
          <w:sz w:val="24"/>
          <w:szCs w:val="24"/>
          <w:highlight w:val="none"/>
          <w:lang w:val="en-US" w:eastAsia="zh-CN"/>
        </w:rPr>
        <w:t>钢球生产项目环境影响报告表</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，2017年11月14号</w:t>
      </w:r>
      <w:r>
        <w:rPr>
          <w:rFonts w:hint="default" w:ascii="Times New Roman" w:hAnsi="Times New Roman" w:eastAsia="宋体" w:cs="Times New Roman"/>
          <w:color w:val="auto"/>
          <w:sz w:val="24"/>
          <w:szCs w:val="24"/>
          <w:highlight w:val="none"/>
          <w:lang w:val="en-US" w:eastAsia="zh-CN"/>
        </w:rPr>
        <w:t>东阿县环境保护局</w:t>
      </w:r>
      <w:r>
        <w:rPr>
          <w:rFonts w:hint="default" w:ascii="Times New Roman" w:hAnsi="Times New Roman" w:eastAsia="宋体" w:cs="Times New Roman"/>
          <w:color w:val="auto"/>
          <w:sz w:val="24"/>
          <w:szCs w:val="24"/>
          <w:highlight w:val="none"/>
        </w:rPr>
        <w:t>以</w:t>
      </w:r>
      <w:r>
        <w:rPr>
          <w:rFonts w:hint="default" w:ascii="Times New Roman" w:hAnsi="Times New Roman" w:eastAsia="宋体" w:cs="Times New Roman"/>
          <w:color w:val="auto"/>
          <w:sz w:val="24"/>
          <w:szCs w:val="24"/>
          <w:highlight w:val="none"/>
          <w:lang w:eastAsia="zh-CN"/>
        </w:rPr>
        <w:t>东环报告表[2017]178号</w:t>
      </w:r>
      <w:r>
        <w:rPr>
          <w:rFonts w:hint="default" w:ascii="Times New Roman" w:hAnsi="Times New Roman" w:eastAsia="宋体" w:cs="Times New Roman"/>
          <w:color w:val="auto"/>
          <w:sz w:val="24"/>
          <w:szCs w:val="24"/>
          <w:highlight w:val="none"/>
        </w:rPr>
        <w:t>对其进行了审批。201</w:t>
      </w:r>
      <w:r>
        <w:rPr>
          <w:rFonts w:hint="default"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年</w:t>
      </w:r>
      <w:r>
        <w:rPr>
          <w:rFonts w:hint="default"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月公司委托</w:t>
      </w:r>
      <w:r>
        <w:rPr>
          <w:rFonts w:hint="default" w:ascii="Times New Roman" w:hAnsi="Times New Roman" w:eastAsia="宋体" w:cs="Times New Roman"/>
          <w:color w:val="auto"/>
          <w:sz w:val="24"/>
          <w:szCs w:val="24"/>
          <w:highlight w:val="none"/>
          <w:lang w:val="en-US" w:eastAsia="zh-CN"/>
        </w:rPr>
        <w:t>山东聊和环保科技有限公司</w:t>
      </w:r>
      <w:r>
        <w:rPr>
          <w:rFonts w:hint="default" w:ascii="Times New Roman" w:hAnsi="Times New Roman" w:eastAsia="宋体" w:cs="Times New Roman"/>
          <w:color w:val="auto"/>
          <w:sz w:val="24"/>
          <w:szCs w:val="24"/>
          <w:highlight w:val="none"/>
        </w:rPr>
        <w:t>进行该项目</w:t>
      </w:r>
      <w:r>
        <w:rPr>
          <w:rFonts w:hint="default" w:ascii="Times New Roman" w:hAnsi="Times New Roman" w:eastAsia="宋体" w:cs="Times New Roman"/>
          <w:color w:val="auto"/>
          <w:sz w:val="24"/>
          <w:szCs w:val="24"/>
          <w:highlight w:val="none"/>
          <w:lang w:eastAsia="zh-CN"/>
        </w:rPr>
        <w:t>一期</w:t>
      </w:r>
      <w:r>
        <w:rPr>
          <w:rFonts w:hint="default" w:ascii="Times New Roman" w:hAnsi="Times New Roman" w:eastAsia="宋体" w:cs="Times New Roman"/>
          <w:color w:val="auto"/>
          <w:sz w:val="24"/>
          <w:szCs w:val="24"/>
          <w:highlight w:val="none"/>
        </w:rPr>
        <w:t>的环保验收监测工作，接</w:t>
      </w:r>
      <w:r>
        <w:rPr>
          <w:rFonts w:hint="default" w:ascii="Times New Roman" w:hAnsi="Times New Roman" w:eastAsia="宋体" w:cs="Times New Roman"/>
          <w:color w:val="auto"/>
          <w:sz w:val="24"/>
          <w:szCs w:val="24"/>
          <w:highlight w:val="none"/>
          <w:lang w:eastAsia="zh-CN"/>
        </w:rPr>
        <w:t>受</w:t>
      </w:r>
      <w:r>
        <w:rPr>
          <w:rFonts w:hint="default" w:ascii="Times New Roman" w:hAnsi="Times New Roman" w:eastAsia="宋体" w:cs="Times New Roman"/>
          <w:color w:val="auto"/>
          <w:sz w:val="24"/>
          <w:szCs w:val="24"/>
          <w:highlight w:val="none"/>
        </w:rPr>
        <w:t>委托后</w:t>
      </w:r>
      <w:r>
        <w:rPr>
          <w:rFonts w:hint="default" w:ascii="Times New Roman" w:hAnsi="Times New Roman" w:eastAsia="宋体" w:cs="Times New Roman"/>
          <w:color w:val="auto"/>
          <w:sz w:val="24"/>
          <w:szCs w:val="24"/>
          <w:highlight w:val="none"/>
          <w:lang w:val="en-US" w:eastAsia="zh-CN"/>
        </w:rPr>
        <w:t>山东聊和环保科技有限公司</w:t>
      </w:r>
      <w:r>
        <w:rPr>
          <w:rFonts w:hint="default" w:ascii="Times New Roman" w:hAnsi="Times New Roman" w:eastAsia="宋体" w:cs="Times New Roman"/>
          <w:color w:val="auto"/>
          <w:sz w:val="24"/>
          <w:szCs w:val="24"/>
          <w:highlight w:val="none"/>
        </w:rPr>
        <w:t>组织有关技术人员进行现场踏勘，依据监测技术规范制定了</w:t>
      </w:r>
      <w:r>
        <w:rPr>
          <w:rFonts w:hint="default" w:ascii="Times New Roman" w:hAnsi="Times New Roman" w:eastAsia="宋体" w:cs="Times New Roman"/>
          <w:color w:val="auto"/>
          <w:sz w:val="24"/>
          <w:szCs w:val="24"/>
          <w:highlight w:val="none"/>
          <w:lang w:eastAsia="zh-CN"/>
        </w:rPr>
        <w:t>一期</w:t>
      </w:r>
      <w:r>
        <w:rPr>
          <w:rFonts w:hint="default" w:ascii="Times New Roman" w:hAnsi="Times New Roman" w:eastAsia="宋体" w:cs="Times New Roman"/>
          <w:color w:val="auto"/>
          <w:sz w:val="24"/>
          <w:szCs w:val="24"/>
          <w:highlight w:val="none"/>
        </w:rPr>
        <w:t>环保验收监测方案，并于</w:t>
      </w:r>
      <w:r>
        <w:rPr>
          <w:rFonts w:hint="default" w:ascii="Times New Roman" w:hAnsi="Times New Roman" w:eastAsia="宋体" w:cs="Times New Roman"/>
          <w:color w:val="auto"/>
          <w:sz w:val="24"/>
          <w:szCs w:val="24"/>
          <w:highlight w:val="none"/>
          <w:lang w:eastAsia="zh-CN"/>
        </w:rPr>
        <w:t>2018年9月7日-8日对该企业进行了验收监测，</w:t>
      </w:r>
      <w:r>
        <w:rPr>
          <w:rFonts w:hint="default" w:ascii="Times New Roman" w:hAnsi="Times New Roman" w:eastAsia="宋体" w:cs="Times New Roman"/>
          <w:color w:val="auto"/>
          <w:sz w:val="24"/>
          <w:szCs w:val="24"/>
          <w:highlight w:val="none"/>
        </w:rPr>
        <w:t>根据</w:t>
      </w:r>
      <w:r>
        <w:rPr>
          <w:rFonts w:hint="default" w:ascii="Times New Roman" w:hAnsi="Times New Roman" w:eastAsia="宋体" w:cs="Times New Roman"/>
          <w:color w:val="auto"/>
          <w:sz w:val="24"/>
          <w:szCs w:val="24"/>
          <w:highlight w:val="none"/>
          <w:lang w:eastAsia="zh-CN"/>
        </w:rPr>
        <w:t>一期</w:t>
      </w:r>
      <w:r>
        <w:rPr>
          <w:rFonts w:hint="default" w:ascii="Times New Roman" w:hAnsi="Times New Roman" w:eastAsia="宋体" w:cs="Times New Roman"/>
          <w:color w:val="auto"/>
          <w:sz w:val="24"/>
          <w:szCs w:val="24"/>
          <w:highlight w:val="none"/>
        </w:rPr>
        <w:t>验收监测结果和现场检查情况编制了本项目</w:t>
      </w:r>
      <w:r>
        <w:rPr>
          <w:rFonts w:hint="default" w:ascii="Times New Roman" w:hAnsi="Times New Roman" w:eastAsia="宋体" w:cs="Times New Roman"/>
          <w:color w:val="auto"/>
          <w:sz w:val="24"/>
          <w:szCs w:val="24"/>
          <w:highlight w:val="none"/>
          <w:lang w:eastAsia="zh-CN"/>
        </w:rPr>
        <w:t>一期</w:t>
      </w:r>
      <w:r>
        <w:rPr>
          <w:rFonts w:hint="default" w:ascii="Times New Roman" w:hAnsi="Times New Roman" w:eastAsia="宋体" w:cs="Times New Roman"/>
          <w:color w:val="auto"/>
          <w:sz w:val="24"/>
          <w:szCs w:val="24"/>
          <w:highlight w:val="none"/>
        </w:rPr>
        <w:t>验收监测报告。</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（三）投资情况</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w:t>
      </w:r>
      <w:r>
        <w:rPr>
          <w:rFonts w:hint="default" w:ascii="Times New Roman" w:hAnsi="Times New Roman" w:eastAsia="宋体" w:cs="Times New Roman"/>
          <w:color w:val="auto"/>
          <w:sz w:val="24"/>
          <w:szCs w:val="24"/>
          <w:highlight w:val="none"/>
          <w:lang w:eastAsia="zh-CN"/>
        </w:rPr>
        <w:t>一期</w:t>
      </w:r>
      <w:r>
        <w:rPr>
          <w:rFonts w:hint="default" w:ascii="Times New Roman" w:hAnsi="Times New Roman" w:eastAsia="宋体" w:cs="Times New Roman"/>
          <w:color w:val="auto"/>
          <w:sz w:val="24"/>
          <w:szCs w:val="24"/>
          <w:highlight w:val="none"/>
        </w:rPr>
        <w:t>实际总投资</w:t>
      </w:r>
      <w:r>
        <w:rPr>
          <w:rFonts w:hint="default" w:ascii="Times New Roman" w:hAnsi="Times New Roman" w:eastAsia="宋体" w:cs="Times New Roman"/>
          <w:color w:val="auto"/>
          <w:sz w:val="24"/>
          <w:szCs w:val="24"/>
          <w:highlight w:val="none"/>
          <w:lang w:val="en-US" w:eastAsia="zh-CN"/>
        </w:rPr>
        <w:t>100万</w:t>
      </w:r>
      <w:r>
        <w:rPr>
          <w:rFonts w:hint="default" w:ascii="Times New Roman" w:hAnsi="Times New Roman" w:eastAsia="宋体" w:cs="Times New Roman"/>
          <w:color w:val="auto"/>
          <w:sz w:val="24"/>
          <w:szCs w:val="24"/>
          <w:highlight w:val="none"/>
        </w:rPr>
        <w:t>元，其中环保投资</w:t>
      </w: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rPr>
        <w:t>万元。占总投资</w:t>
      </w: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宋体" w:cs="Times New Roman"/>
          <w:color w:val="auto"/>
          <w:sz w:val="24"/>
          <w:szCs w:val="24"/>
          <w:highlight w:val="none"/>
        </w:rPr>
        <w:t>％。</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（四）验收范围</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本次验收的范围为</w:t>
      </w:r>
      <w:r>
        <w:rPr>
          <w:rFonts w:hint="default" w:ascii="Times New Roman" w:hAnsi="Times New Roman" w:eastAsia="宋体" w:cs="Times New Roman"/>
          <w:color w:val="auto"/>
          <w:sz w:val="24"/>
          <w:szCs w:val="24"/>
          <w:highlight w:val="none"/>
          <w:lang w:val="en-US" w:eastAsia="zh-CN"/>
        </w:rPr>
        <w:t>200吨钢球生产设备</w:t>
      </w:r>
      <w:r>
        <w:rPr>
          <w:rFonts w:hint="default" w:ascii="Times New Roman" w:hAnsi="Times New Roman" w:eastAsia="宋体" w:cs="Times New Roman"/>
          <w:color w:val="auto"/>
          <w:sz w:val="24"/>
          <w:szCs w:val="24"/>
          <w:highlight w:val="none"/>
        </w:rPr>
        <w:t>及其配套环保设施。</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二、工程变更情况</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经现场验收核查，本项目设备中光球机未上，光球工序暂时外协；应分期验收，本次验收为一期。对照环评报告及审批意见，生产性质、生产地点、生产规模、生产工艺流程及环保设施均无明显变动，故本项目工程无重大变动</w:t>
      </w:r>
      <w:r>
        <w:rPr>
          <w:rFonts w:hint="default" w:ascii="Times New Roman" w:hAnsi="Times New Roman" w:eastAsia="宋体" w:cs="Times New Roman"/>
          <w:color w:val="auto"/>
          <w:sz w:val="24"/>
          <w:szCs w:val="24"/>
          <w:highlight w:val="none"/>
        </w:rPr>
        <w:t>。</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三、</w:t>
      </w:r>
      <w:r>
        <w:rPr>
          <w:rFonts w:hint="default" w:ascii="Times New Roman" w:hAnsi="Times New Roman" w:eastAsia="宋体" w:cs="Times New Roman"/>
          <w:color w:val="auto"/>
          <w:sz w:val="24"/>
          <w:szCs w:val="24"/>
          <w:highlight w:val="none"/>
        </w:rPr>
        <w:t>环境保护设施落实情况</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（一）废水污染源及其治理措施</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废水包括生产废水及生活废水。其中生产废水磨削液稀释用水及淬火冷却水均循环使用，不外排；煤油脱水废水及洗球废水经溶气气浮污水处理设施气浮+好氧快滤处理后，回用于清洗循环水池、不外排。生活污水经化粪池收集后由当地环卫部门清运。</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（二）废气污染源及其治理措施</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本项目在淬火油池、煤油脱水和涂防锈油等工序产生非甲烷总烃，建设方安装集气罩经光氧催化设施处理，处理后的废气通过15m高排气筒排放。磨盘修整产生少量金属粉尘，无组织排放。</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（三）噪声</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本项目的噪声主要为磨球机、精研机等各类机械设备运行时产生的噪声。本项目设置基础减震等降噪措施，再加上厂房隔声、经距离衰减，降低对周围声环境的影响</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 xml:space="preserve"> </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（四）固体废物</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产生的金属屑、次品，循环水池中的铁泥均属于一般固废，外售于相关企业综合利用；淬火油池泥渣、废UV灯管、废气处理设施收集的废矿物油及污水处理产生的废矿物油及污泥均属于危险废物，委托有危险废物资质的单位代为处置；生活垃圾由环卫部门处理。</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四、</w:t>
      </w:r>
      <w:r>
        <w:rPr>
          <w:rFonts w:hint="default" w:ascii="Times New Roman" w:hAnsi="Times New Roman" w:eastAsia="宋体" w:cs="Times New Roman"/>
          <w:color w:val="auto"/>
          <w:sz w:val="24"/>
          <w:szCs w:val="24"/>
          <w:highlight w:val="none"/>
        </w:rPr>
        <w:t>验收监测结果</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（一）环保设施运行检测结果</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山东聊和环保科技有限公司</w:t>
      </w:r>
      <w:r>
        <w:rPr>
          <w:rFonts w:hint="default" w:ascii="Times New Roman" w:hAnsi="Times New Roman" w:eastAsia="宋体" w:cs="Times New Roman"/>
          <w:color w:val="auto"/>
          <w:sz w:val="24"/>
          <w:szCs w:val="24"/>
          <w:highlight w:val="none"/>
        </w:rPr>
        <w:t>出具的《</w:t>
      </w:r>
      <w:r>
        <w:rPr>
          <w:rFonts w:hint="default" w:ascii="Times New Roman" w:hAnsi="Times New Roman" w:eastAsia="宋体" w:cs="Times New Roman"/>
          <w:color w:val="auto"/>
          <w:sz w:val="24"/>
          <w:szCs w:val="24"/>
          <w:highlight w:val="none"/>
          <w:lang w:val="en-US" w:eastAsia="zh-CN"/>
        </w:rPr>
        <w:t>东阿县旭升钢球有限公司钢球生产项目（一期）</w:t>
      </w:r>
      <w:r>
        <w:rPr>
          <w:rFonts w:hint="default" w:ascii="Times New Roman" w:hAnsi="Times New Roman" w:eastAsia="宋体" w:cs="Times New Roman"/>
          <w:color w:val="auto"/>
          <w:sz w:val="24"/>
          <w:szCs w:val="24"/>
          <w:highlight w:val="none"/>
        </w:rPr>
        <w:t>竣工环境保护验收监测报告》监测结果表明：</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废水</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同上文三、（一）</w:t>
      </w:r>
      <w:r>
        <w:rPr>
          <w:rFonts w:hint="default" w:ascii="Times New Roman" w:hAnsi="Times New Roman" w:eastAsia="宋体" w:cs="Times New Roman"/>
          <w:color w:val="auto"/>
          <w:sz w:val="24"/>
          <w:szCs w:val="24"/>
          <w:highlight w:val="none"/>
          <w:lang w:eastAsia="zh-CN"/>
        </w:rPr>
        <w:t>。</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废气</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验收监测期间，有组织非甲烷总烃最高排放浓度为0.55mg/m3，排放速率最高为3.9×10-3kg/h，满足《大气污染物综合排放标准》（GB16297-1996）表2中的非甲烷总烃二级标准。无组织非甲烷总烃小时浓度最高为0.41mg/m3，无组织颗粒物小时浓度最高为0.426mg/m3，满足《大气污染物综合排放标准》表2无组织非甲烷总烃及无组织颗粒物排放浓度要求。</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噪声</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 xml:space="preserve"> 验收监测期间，监测点位昼间噪声在56.5dB(A)-57.5dB(A)之间，监测点位夜间噪声在47.0dB(A)-48.0dB(A)之间，符合《工业企业厂界环境噪声排放标准》（GB12348－2008）中的2类标准限值</w:t>
      </w:r>
      <w:r>
        <w:rPr>
          <w:rFonts w:hint="default" w:ascii="Times New Roman" w:hAnsi="Times New Roman" w:eastAsia="宋体" w:cs="Times New Roman"/>
          <w:color w:val="auto"/>
          <w:sz w:val="24"/>
          <w:szCs w:val="24"/>
          <w:highlight w:val="none"/>
        </w:rPr>
        <w:t>。</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固体废物</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同上文三、（四）</w:t>
      </w:r>
      <w:r>
        <w:rPr>
          <w:rFonts w:hint="default" w:ascii="Times New Roman" w:hAnsi="Times New Roman" w:eastAsia="宋体" w:cs="Times New Roman"/>
          <w:color w:val="auto"/>
          <w:sz w:val="24"/>
          <w:szCs w:val="24"/>
          <w:highlight w:val="none"/>
        </w:rPr>
        <w:t>。</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（二）环境管理调查</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东阿县旭升钢球有限公司</w:t>
      </w:r>
      <w:r>
        <w:rPr>
          <w:rFonts w:hint="default" w:ascii="Times New Roman" w:hAnsi="Times New Roman" w:eastAsia="宋体" w:cs="Times New Roman"/>
          <w:color w:val="auto"/>
          <w:sz w:val="24"/>
          <w:szCs w:val="24"/>
          <w:highlight w:val="none"/>
        </w:rPr>
        <w:t>制定了《</w:t>
      </w:r>
      <w:r>
        <w:rPr>
          <w:rFonts w:hint="default" w:ascii="Times New Roman" w:hAnsi="Times New Roman" w:eastAsia="宋体" w:cs="Times New Roman"/>
          <w:color w:val="auto"/>
          <w:sz w:val="24"/>
          <w:szCs w:val="24"/>
          <w:highlight w:val="none"/>
          <w:lang w:eastAsia="zh-CN"/>
        </w:rPr>
        <w:t>东阿县旭升钢球有限公司</w:t>
      </w:r>
      <w:r>
        <w:rPr>
          <w:rFonts w:hint="default" w:ascii="Times New Roman" w:hAnsi="Times New Roman" w:eastAsia="宋体" w:cs="Times New Roman"/>
          <w:color w:val="auto"/>
          <w:sz w:val="24"/>
          <w:szCs w:val="24"/>
          <w:highlight w:val="none"/>
        </w:rPr>
        <w:t>环保管理制度》</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并设立了相关机构。日常工作由</w:t>
      </w:r>
      <w:r>
        <w:rPr>
          <w:rFonts w:hint="default" w:ascii="Times New Roman" w:hAnsi="Times New Roman" w:eastAsia="宋体" w:cs="Times New Roman"/>
          <w:color w:val="auto"/>
          <w:sz w:val="24"/>
          <w:szCs w:val="24"/>
          <w:highlight w:val="none"/>
          <w:lang w:eastAsia="zh-CN"/>
        </w:rPr>
        <w:t>办公室</w:t>
      </w:r>
      <w:r>
        <w:rPr>
          <w:rFonts w:hint="default" w:ascii="Times New Roman" w:hAnsi="Times New Roman" w:eastAsia="宋体" w:cs="Times New Roman"/>
          <w:color w:val="auto"/>
          <w:sz w:val="24"/>
          <w:szCs w:val="24"/>
          <w:highlight w:val="none"/>
        </w:rPr>
        <w:t>管理，其主要职责是：行使公司环保工作的计划、组织、指挥、协调、检查和考核管理职能，日常一切工作须对公司负责。</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五、专家意见：</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在今后企业环保工作中，建议企业落实以下要求。</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研磨机周围有漏油，须加强清理，设围堰；</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车间外洗球废水上方加遮盖；</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规范建设危废间，签订危废处置协议，及时填写危废台账；</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排气筒加标识牌。</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六</w:t>
      </w:r>
      <w:r>
        <w:rPr>
          <w:rFonts w:hint="default" w:ascii="Times New Roman" w:hAnsi="Times New Roman" w:eastAsia="宋体" w:cs="Times New Roman"/>
          <w:color w:val="auto"/>
          <w:sz w:val="24"/>
          <w:szCs w:val="24"/>
          <w:highlight w:val="none"/>
        </w:rPr>
        <w:t>、验收结论</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420"/>
        </w:tabs>
        <w:spacing w:line="360" w:lineRule="auto"/>
        <w:ind w:left="298" w:leftChars="142" w:firstLine="480" w:firstLineChars="200"/>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lang w:eastAsia="zh-CN"/>
        </w:rPr>
        <w:t>东阿县旭升钢球有限公司</w:t>
      </w:r>
      <w:r>
        <w:rPr>
          <w:rFonts w:hint="default" w:ascii="Times New Roman" w:hAnsi="Times New Roman" w:eastAsia="宋体" w:cs="Times New Roman"/>
          <w:b/>
          <w:bCs/>
          <w:color w:val="auto"/>
          <w:sz w:val="24"/>
          <w:szCs w:val="24"/>
        </w:rPr>
        <w:t>验收组</w:t>
      </w:r>
    </w:p>
    <w:p>
      <w:pPr>
        <w:spacing w:line="360" w:lineRule="auto"/>
        <w:jc w:val="right"/>
        <w:rPr>
          <w:rFonts w:hint="default" w:ascii="Times New Roman" w:hAnsi="Times New Roman" w:eastAsia="宋体" w:cs="Times New Roman"/>
          <w:color w:val="auto"/>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201</w:t>
      </w:r>
      <w:r>
        <w:rPr>
          <w:rFonts w:hint="default" w:ascii="Times New Roman" w:hAnsi="Times New Roman" w:eastAsia="宋体" w:cs="Times New Roman"/>
          <w:b/>
          <w:bCs/>
          <w:color w:val="auto"/>
          <w:sz w:val="24"/>
          <w:szCs w:val="24"/>
          <w:highlight w:val="none"/>
          <w:lang w:val="en-US" w:eastAsia="zh-CN"/>
        </w:rPr>
        <w:t>9</w:t>
      </w:r>
      <w:r>
        <w:rPr>
          <w:rFonts w:hint="default" w:ascii="Times New Roman" w:hAnsi="Times New Roman" w:eastAsia="宋体" w:cs="Times New Roman"/>
          <w:b/>
          <w:bCs/>
          <w:color w:val="auto"/>
          <w:sz w:val="24"/>
          <w:szCs w:val="24"/>
          <w:highlight w:val="none"/>
        </w:rPr>
        <w:t>年</w:t>
      </w:r>
      <w:r>
        <w:rPr>
          <w:rFonts w:hint="default" w:ascii="Times New Roman" w:hAnsi="Times New Roman" w:eastAsia="宋体" w:cs="Times New Roman"/>
          <w:b/>
          <w:bCs/>
          <w:color w:val="auto"/>
          <w:sz w:val="24"/>
          <w:szCs w:val="24"/>
          <w:highlight w:val="none"/>
          <w:lang w:val="en-US" w:eastAsia="zh-CN"/>
        </w:rPr>
        <w:t>3</w:t>
      </w:r>
      <w:r>
        <w:rPr>
          <w:rFonts w:hint="default" w:ascii="Times New Roman" w:hAnsi="Times New Roman" w:eastAsia="宋体" w:cs="Times New Roman"/>
          <w:b/>
          <w:bCs/>
          <w:color w:val="auto"/>
          <w:sz w:val="24"/>
          <w:szCs w:val="24"/>
          <w:highlight w:val="none"/>
        </w:rPr>
        <w:t>月</w:t>
      </w:r>
      <w:r>
        <w:rPr>
          <w:rFonts w:hint="default" w:ascii="Times New Roman" w:hAnsi="Times New Roman" w:eastAsia="宋体" w:cs="Times New Roman"/>
          <w:b/>
          <w:bCs/>
          <w:color w:val="auto"/>
          <w:sz w:val="24"/>
          <w:szCs w:val="24"/>
          <w:highlight w:val="none"/>
          <w:lang w:val="en-US" w:eastAsia="zh-CN"/>
        </w:rPr>
        <w:t>26</w:t>
      </w:r>
      <w:r>
        <w:rPr>
          <w:rFonts w:hint="default" w:ascii="Times New Roman" w:hAnsi="Times New Roman" w:eastAsia="宋体" w:cs="Times New Roman"/>
          <w:b/>
          <w:bCs/>
          <w:color w:val="auto"/>
          <w:sz w:val="24"/>
          <w:szCs w:val="24"/>
          <w:highlight w:val="none"/>
        </w:rPr>
        <w:t>日</w:t>
      </w:r>
      <w:r>
        <w:rPr>
          <w:rFonts w:hint="default" w:ascii="Times New Roman" w:hAnsi="Times New Roman" w:eastAsia="宋体" w:cs="Times New Roman"/>
          <w:color w:val="auto"/>
          <w:sz w:val="28"/>
          <w:szCs w:val="28"/>
          <w:highlight w:val="none"/>
        </w:rPr>
        <w:t xml:space="preserve">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9356A"/>
    <w:rsid w:val="00FA719E"/>
    <w:rsid w:val="030F5404"/>
    <w:rsid w:val="181F582C"/>
    <w:rsid w:val="18D05E89"/>
    <w:rsid w:val="194536F7"/>
    <w:rsid w:val="1AB228FE"/>
    <w:rsid w:val="1D920851"/>
    <w:rsid w:val="2102413F"/>
    <w:rsid w:val="27420539"/>
    <w:rsid w:val="2A2225DC"/>
    <w:rsid w:val="394E218A"/>
    <w:rsid w:val="3AA3253F"/>
    <w:rsid w:val="3C7A25BB"/>
    <w:rsid w:val="3CBC00FB"/>
    <w:rsid w:val="3D5D76D0"/>
    <w:rsid w:val="3D882091"/>
    <w:rsid w:val="42D66A94"/>
    <w:rsid w:val="440B2C50"/>
    <w:rsid w:val="493326E6"/>
    <w:rsid w:val="510D59DA"/>
    <w:rsid w:val="51B711D3"/>
    <w:rsid w:val="56FF753E"/>
    <w:rsid w:val="592F6FA6"/>
    <w:rsid w:val="5F102768"/>
    <w:rsid w:val="5FEF6218"/>
    <w:rsid w:val="639760D3"/>
    <w:rsid w:val="67E97C88"/>
    <w:rsid w:val="6C634D6B"/>
    <w:rsid w:val="6D4729D1"/>
    <w:rsid w:val="77930543"/>
    <w:rsid w:val="78F400A0"/>
    <w:rsid w:val="79322C88"/>
    <w:rsid w:val="7B27245D"/>
    <w:rsid w:val="7C6E1004"/>
    <w:rsid w:val="7F290D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2019-08-31T01:33:30Z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