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20"/>
        </w:tabs>
        <w:spacing w:line="360" w:lineRule="auto"/>
        <w:jc w:val="center"/>
        <w:rPr>
          <w:rFonts w:hint="eastAsia" w:cs="Times New Roman"/>
          <w:b/>
          <w:color w:val="auto"/>
          <w:sz w:val="28"/>
          <w:szCs w:val="28"/>
          <w:lang w:val="en-US" w:eastAsia="zh-CN"/>
        </w:rPr>
      </w:pPr>
      <w:r>
        <w:rPr>
          <w:rFonts w:hint="eastAsia" w:cs="Times New Roman"/>
          <w:b/>
          <w:color w:val="auto"/>
          <w:sz w:val="28"/>
          <w:szCs w:val="28"/>
          <w:lang w:val="en-US" w:eastAsia="zh-CN"/>
        </w:rPr>
        <w:t>中国石油天然气股份有限公司山东聊城销售分公司第五十加油站项目</w:t>
      </w:r>
    </w:p>
    <w:p>
      <w:pPr>
        <w:tabs>
          <w:tab w:val="left" w:pos="220"/>
        </w:tabs>
        <w:spacing w:line="360" w:lineRule="auto"/>
        <w:jc w:val="center"/>
        <w:rPr>
          <w:rFonts w:hint="default" w:ascii="Times New Roman" w:hAnsi="Times New Roman" w:eastAsia="宋体" w:cs="Times New Roman"/>
          <w:b/>
          <w:color w:val="auto"/>
          <w:sz w:val="28"/>
          <w:szCs w:val="28"/>
        </w:rPr>
      </w:pPr>
      <w:r>
        <w:rPr>
          <w:rFonts w:hint="default" w:ascii="Times New Roman" w:hAnsi="Times New Roman" w:eastAsia="宋体" w:cs="Times New Roman"/>
          <w:b/>
          <w:color w:val="auto"/>
          <w:sz w:val="28"/>
          <w:szCs w:val="28"/>
          <w:lang w:val="en-US" w:eastAsia="zh-CN"/>
        </w:rPr>
        <w:t>竣工</w:t>
      </w:r>
      <w:r>
        <w:rPr>
          <w:rFonts w:hint="default" w:ascii="Times New Roman" w:hAnsi="Times New Roman" w:eastAsia="宋体" w:cs="Times New Roman"/>
          <w:b/>
          <w:color w:val="auto"/>
          <w:sz w:val="28"/>
          <w:szCs w:val="28"/>
        </w:rPr>
        <w:t>环境保护验收现场检查及验收工作组验收意见</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highlight w:val="none"/>
        </w:rPr>
        <w:t>201</w:t>
      </w:r>
      <w:r>
        <w:rPr>
          <w:rFonts w:hint="eastAsia" w:ascii="Times New Roman" w:hAnsi="Times New Roman" w:eastAsia="宋体" w:cs="Times New Roman"/>
          <w:color w:val="auto"/>
          <w:sz w:val="24"/>
          <w:szCs w:val="24"/>
          <w:highlight w:val="none"/>
          <w:lang w:val="en-US" w:eastAsia="zh-CN"/>
        </w:rPr>
        <w:t>9</w:t>
      </w:r>
      <w:r>
        <w:rPr>
          <w:rFonts w:hint="default" w:ascii="Times New Roman" w:hAnsi="Times New Roman" w:eastAsia="宋体" w:cs="Times New Roman"/>
          <w:color w:val="auto"/>
          <w:sz w:val="24"/>
          <w:szCs w:val="24"/>
          <w:highlight w:val="none"/>
        </w:rPr>
        <w:t>年</w:t>
      </w:r>
      <w:r>
        <w:rPr>
          <w:rFonts w:hint="eastAsia" w:cs="Times New Roman"/>
          <w:color w:val="auto"/>
          <w:sz w:val="24"/>
          <w:szCs w:val="24"/>
          <w:highlight w:val="none"/>
          <w:lang w:val="en-US" w:eastAsia="zh-CN"/>
        </w:rPr>
        <w:t>8</w:t>
      </w:r>
      <w:r>
        <w:rPr>
          <w:rFonts w:hint="default" w:ascii="Times New Roman" w:hAnsi="Times New Roman" w:eastAsia="宋体" w:cs="Times New Roman"/>
          <w:color w:val="auto"/>
          <w:sz w:val="24"/>
          <w:szCs w:val="24"/>
          <w:highlight w:val="none"/>
        </w:rPr>
        <w:t>月</w:t>
      </w:r>
      <w:r>
        <w:rPr>
          <w:rFonts w:hint="eastAsia" w:cs="Times New Roman"/>
          <w:color w:val="auto"/>
          <w:sz w:val="24"/>
          <w:szCs w:val="24"/>
          <w:highlight w:val="none"/>
          <w:lang w:val="en-US" w:eastAsia="zh-CN"/>
        </w:rPr>
        <w:t>25</w:t>
      </w:r>
      <w:r>
        <w:rPr>
          <w:rFonts w:hint="default" w:ascii="Times New Roman" w:hAnsi="Times New Roman" w:eastAsia="宋体" w:cs="Times New Roman"/>
          <w:color w:val="auto"/>
          <w:sz w:val="24"/>
          <w:szCs w:val="24"/>
          <w:highlight w:val="none"/>
        </w:rPr>
        <w:t>日</w:t>
      </w:r>
      <w:r>
        <w:rPr>
          <w:rFonts w:hint="default" w:ascii="Times New Roman" w:hAnsi="Times New Roman" w:eastAsia="宋体" w:cs="Times New Roman"/>
          <w:color w:val="auto"/>
          <w:sz w:val="24"/>
          <w:szCs w:val="24"/>
        </w:rPr>
        <w:t>，</w:t>
      </w:r>
      <w:r>
        <w:rPr>
          <w:rFonts w:hint="eastAsia" w:cs="Times New Roman"/>
          <w:color w:val="auto"/>
          <w:sz w:val="24"/>
          <w:szCs w:val="24"/>
          <w:lang w:val="en-US" w:eastAsia="zh-CN"/>
        </w:rPr>
        <w:t>中国石油天然气股份有限公司山东聊城销售分公司</w:t>
      </w:r>
      <w:r>
        <w:rPr>
          <w:rFonts w:hint="default" w:ascii="Times New Roman" w:hAnsi="Times New Roman" w:eastAsia="宋体" w:cs="Times New Roman"/>
          <w:color w:val="auto"/>
          <w:sz w:val="24"/>
          <w:szCs w:val="24"/>
          <w:highlight w:val="none"/>
        </w:rPr>
        <w:t>组织召开</w:t>
      </w:r>
      <w:r>
        <w:rPr>
          <w:rFonts w:hint="default" w:ascii="Times New Roman" w:hAnsi="Times New Roman" w:eastAsia="宋体" w:cs="Times New Roman"/>
          <w:color w:val="auto"/>
          <w:sz w:val="24"/>
          <w:szCs w:val="24"/>
          <w:highlight w:val="none"/>
          <w:lang w:val="en-US" w:eastAsia="zh-CN"/>
        </w:rPr>
        <w:t>第五十加油站项目</w:t>
      </w:r>
      <w:r>
        <w:rPr>
          <w:rFonts w:hint="default" w:ascii="Times New Roman" w:hAnsi="Times New Roman" w:eastAsia="宋体" w:cs="Times New Roman"/>
          <w:color w:val="auto"/>
          <w:sz w:val="24"/>
          <w:szCs w:val="24"/>
          <w:highlight w:val="none"/>
        </w:rPr>
        <w:t>竣</w:t>
      </w:r>
      <w:r>
        <w:rPr>
          <w:rFonts w:hint="default" w:ascii="Times New Roman" w:hAnsi="Times New Roman" w:eastAsia="宋体" w:cs="Times New Roman"/>
          <w:color w:val="auto"/>
          <w:sz w:val="24"/>
          <w:szCs w:val="24"/>
        </w:rPr>
        <w:t>工环境保护验收现场检查及验收及验收会。验收工作组由工程建设单位（</w:t>
      </w:r>
      <w:r>
        <w:rPr>
          <w:rFonts w:hint="eastAsia" w:cs="Times New Roman"/>
          <w:color w:val="auto"/>
          <w:sz w:val="24"/>
          <w:szCs w:val="24"/>
          <w:lang w:val="en-US" w:eastAsia="zh-CN"/>
        </w:rPr>
        <w:t>中国石油天然气股份有限公司山东聊城销售分公司</w:t>
      </w:r>
      <w:r>
        <w:rPr>
          <w:rFonts w:hint="default" w:ascii="Times New Roman" w:hAnsi="Times New Roman" w:eastAsia="宋体" w:cs="Times New Roman"/>
          <w:color w:val="auto"/>
          <w:sz w:val="24"/>
          <w:szCs w:val="24"/>
        </w:rPr>
        <w:t>）、环评单位（</w:t>
      </w:r>
      <w:r>
        <w:rPr>
          <w:rFonts w:hint="eastAsia" w:cs="Times New Roman"/>
          <w:color w:val="auto"/>
          <w:sz w:val="24"/>
          <w:szCs w:val="24"/>
          <w:lang w:val="en-US" w:eastAsia="zh-CN"/>
        </w:rPr>
        <w:t>聊城市环境科学工程设计院</w:t>
      </w:r>
      <w:r>
        <w:rPr>
          <w:rFonts w:hint="default" w:ascii="Times New Roman" w:hAnsi="Times New Roman" w:eastAsia="宋体" w:cs="Times New Roman"/>
          <w:color w:val="auto"/>
          <w:sz w:val="24"/>
          <w:szCs w:val="24"/>
        </w:rPr>
        <w:t>）、监测单位（</w:t>
      </w:r>
      <w:r>
        <w:rPr>
          <w:rFonts w:hint="default" w:ascii="Times New Roman" w:hAnsi="Times New Roman" w:eastAsia="宋体" w:cs="Times New Roman"/>
          <w:color w:val="auto"/>
          <w:sz w:val="24"/>
          <w:szCs w:val="24"/>
          <w:lang w:eastAsia="zh-CN"/>
        </w:rPr>
        <w:t>山东聊和环保科技有限公司</w:t>
      </w:r>
      <w:r>
        <w:rPr>
          <w:rFonts w:hint="default" w:ascii="Times New Roman" w:hAnsi="Times New Roman" w:eastAsia="宋体" w:cs="Times New Roman"/>
          <w:color w:val="auto"/>
          <w:sz w:val="24"/>
          <w:szCs w:val="24"/>
        </w:rPr>
        <w:t>）并特邀</w:t>
      </w:r>
      <w:r>
        <w:rPr>
          <w:rFonts w:hint="eastAsia" w:cs="Times New Roman"/>
          <w:color w:val="auto"/>
          <w:sz w:val="24"/>
          <w:szCs w:val="24"/>
          <w:lang w:val="en-US" w:eastAsia="zh-CN"/>
        </w:rPr>
        <w:t>3</w:t>
      </w:r>
      <w:r>
        <w:rPr>
          <w:rFonts w:hint="default" w:ascii="Times New Roman" w:hAnsi="Times New Roman" w:eastAsia="宋体" w:cs="Times New Roman"/>
          <w:color w:val="auto"/>
          <w:sz w:val="24"/>
          <w:szCs w:val="24"/>
        </w:rPr>
        <w:t>名技术专家（名单附后）组成。</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一、工程建设基本情况</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（一）建设地点、规模、主要建设内容</w:t>
      </w:r>
    </w:p>
    <w:p>
      <w:pPr>
        <w:pStyle w:val="3"/>
        <w:numPr>
          <w:ilvl w:val="0"/>
          <w:numId w:val="0"/>
        </w:numPr>
        <w:spacing w:line="360" w:lineRule="auto"/>
        <w:ind w:left="233" w:leftChars="111" w:firstLine="518" w:firstLineChars="216"/>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rPr>
        <w:t>项目建设地点</w:t>
      </w:r>
      <w:r>
        <w:rPr>
          <w:rFonts w:hint="default" w:ascii="Times New Roman" w:hAnsi="Times New Roman" w:eastAsia="宋体" w:cs="Times New Roman"/>
          <w:color w:val="auto"/>
          <w:sz w:val="24"/>
          <w:szCs w:val="24"/>
          <w:lang w:eastAsia="zh-CN"/>
        </w:rPr>
        <w:t>位于</w:t>
      </w:r>
      <w:r>
        <w:rPr>
          <w:rFonts w:hint="eastAsia" w:cs="Times New Roman"/>
          <w:color w:val="auto"/>
          <w:sz w:val="24"/>
          <w:szCs w:val="24"/>
          <w:lang w:eastAsia="zh-CN"/>
        </w:rPr>
        <w:t>临清市北环路东首铁路桥西路北</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eastAsia="zh-CN"/>
        </w:rPr>
        <w:t>总投资</w:t>
      </w:r>
      <w:r>
        <w:rPr>
          <w:rFonts w:hint="eastAsia" w:cs="Times New Roman"/>
          <w:color w:val="auto"/>
          <w:sz w:val="24"/>
          <w:szCs w:val="24"/>
          <w:lang w:val="en-US" w:eastAsia="zh-CN"/>
        </w:rPr>
        <w:t>200万元</w:t>
      </w:r>
      <w:r>
        <w:rPr>
          <w:rFonts w:hint="default"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rPr>
        <w:t>占地</w:t>
      </w:r>
      <w:r>
        <w:rPr>
          <w:rFonts w:hint="default" w:ascii="Times New Roman" w:hAnsi="Times New Roman" w:eastAsia="宋体" w:cs="Times New Roman"/>
          <w:color w:val="auto"/>
          <w:sz w:val="24"/>
          <w:szCs w:val="24"/>
          <w:lang w:eastAsia="zh-CN"/>
        </w:rPr>
        <w:t>面积</w:t>
      </w:r>
      <w:r>
        <w:rPr>
          <w:rFonts w:hint="eastAsia" w:cs="Times New Roman"/>
          <w:color w:val="auto"/>
          <w:sz w:val="24"/>
          <w:szCs w:val="24"/>
          <w:lang w:val="en-US" w:eastAsia="zh-CN"/>
        </w:rPr>
        <w:t>2195</w:t>
      </w:r>
      <w:r>
        <w:rPr>
          <w:rFonts w:hint="default" w:ascii="Times New Roman" w:hAnsi="Times New Roman" w:eastAsia="宋体" w:cs="Times New Roman"/>
          <w:color w:val="auto"/>
          <w:sz w:val="24"/>
          <w:szCs w:val="24"/>
        </w:rPr>
        <w:t>m</w:t>
      </w:r>
      <w:r>
        <w:rPr>
          <w:rFonts w:hint="default" w:ascii="Times New Roman" w:hAnsi="Times New Roman" w:eastAsia="宋体" w:cs="Times New Roman"/>
          <w:color w:val="auto"/>
          <w:sz w:val="24"/>
          <w:szCs w:val="24"/>
          <w:vertAlign w:val="superscript"/>
        </w:rPr>
        <w:t>2</w:t>
      </w:r>
      <w:r>
        <w:rPr>
          <w:rFonts w:hint="default" w:ascii="Times New Roman" w:hAnsi="Times New Roman" w:eastAsia="宋体" w:cs="Times New Roman"/>
          <w:color w:val="auto"/>
          <w:sz w:val="24"/>
          <w:szCs w:val="24"/>
        </w:rPr>
        <w:t>，建设</w:t>
      </w:r>
      <w:r>
        <w:rPr>
          <w:rFonts w:hint="default" w:ascii="Times New Roman" w:hAnsi="Times New Roman" w:eastAsia="宋体" w:cs="Times New Roman"/>
          <w:color w:val="auto"/>
          <w:sz w:val="24"/>
          <w:szCs w:val="24"/>
          <w:lang w:eastAsia="zh-CN"/>
        </w:rPr>
        <w:t>中国石油天然气股份有限公司山东聊城销售分公司第五十加油站项目</w:t>
      </w:r>
      <w:r>
        <w:rPr>
          <w:rFonts w:hint="eastAsia" w:cs="Times New Roman"/>
          <w:color w:val="auto"/>
          <w:sz w:val="24"/>
          <w:szCs w:val="24"/>
          <w:lang w:eastAsia="zh-CN"/>
        </w:rPr>
        <w:t>。</w:t>
      </w:r>
      <w:bookmarkStart w:id="0" w:name="_GoBack"/>
      <w:bookmarkEnd w:id="0"/>
    </w:p>
    <w:p>
      <w:pPr>
        <w:tabs>
          <w:tab w:val="left" w:pos="220"/>
        </w:tabs>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（二）环保审批情况</w:t>
      </w:r>
    </w:p>
    <w:p>
      <w:pPr>
        <w:spacing w:line="360" w:lineRule="auto"/>
        <w:ind w:left="233" w:leftChars="111" w:firstLine="518" w:firstLineChars="216"/>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2012年8月中国石油天然气股份有限公司山东聊城销售分公司委托聊城市环境科学工程设计院编制了《中国石油天然气股份有限公司山东聊城销售分公司第五十加油站项目环境影响报告表》，2012年11月1日临清市环境保护局以临环审[2012]17号文对该项目下发了批复。2019年8月公司委托山东聊和环保科技有限公司进行该项目的环保验收监测工作，接受委托后山东聊和环保科技有限公司组织有关技术人员进行现场踏勘，依据监测技术规范制定了环保验收监测方案，并于2019年08月13日-2019年08月14日对厂区有关污染源进行了监测，根据验收监测结果和现场检查情况编制了本项目验收监测报告。</w:t>
      </w:r>
    </w:p>
    <w:p>
      <w:pPr>
        <w:tabs>
          <w:tab w:val="left" w:pos="220"/>
        </w:tabs>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（三）投资情况</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项目实际总投资</w:t>
      </w:r>
      <w:r>
        <w:rPr>
          <w:rFonts w:hint="eastAsia" w:cs="Times New Roman"/>
          <w:color w:val="auto"/>
          <w:sz w:val="24"/>
          <w:szCs w:val="24"/>
          <w:lang w:val="en-US" w:eastAsia="zh-CN"/>
        </w:rPr>
        <w:t>200万元</w:t>
      </w:r>
      <w:r>
        <w:rPr>
          <w:rFonts w:hint="default" w:ascii="Times New Roman" w:hAnsi="Times New Roman" w:eastAsia="宋体" w:cs="Times New Roman"/>
          <w:color w:val="auto"/>
          <w:sz w:val="24"/>
          <w:szCs w:val="24"/>
        </w:rPr>
        <w:t>，其中环保投资</w:t>
      </w:r>
      <w:r>
        <w:rPr>
          <w:rFonts w:hint="eastAsia" w:cs="Times New Roman"/>
          <w:color w:val="auto"/>
          <w:sz w:val="24"/>
          <w:szCs w:val="24"/>
          <w:lang w:val="en-US" w:eastAsia="zh-CN"/>
        </w:rPr>
        <w:t>20</w:t>
      </w:r>
      <w:r>
        <w:rPr>
          <w:rFonts w:hint="default" w:ascii="Times New Roman" w:hAnsi="Times New Roman" w:eastAsia="宋体" w:cs="Times New Roman"/>
          <w:color w:val="auto"/>
          <w:sz w:val="24"/>
          <w:szCs w:val="24"/>
        </w:rPr>
        <w:t>万元。占总投资</w:t>
      </w:r>
      <w:r>
        <w:rPr>
          <w:rFonts w:hint="eastAsia" w:cs="Times New Roman"/>
          <w:color w:val="auto"/>
          <w:sz w:val="24"/>
          <w:szCs w:val="24"/>
          <w:lang w:val="en-US" w:eastAsia="zh-CN"/>
        </w:rPr>
        <w:t>10</w:t>
      </w:r>
      <w:r>
        <w:rPr>
          <w:rFonts w:hint="default" w:ascii="Times New Roman" w:hAnsi="Times New Roman" w:eastAsia="宋体" w:cs="Times New Roman"/>
          <w:color w:val="auto"/>
          <w:sz w:val="24"/>
          <w:szCs w:val="24"/>
        </w:rPr>
        <w:t>％。</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（四）验收范围</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本次验收的范围为</w:t>
      </w:r>
      <w:r>
        <w:rPr>
          <w:rFonts w:hint="eastAsia" w:cs="Times New Roman"/>
          <w:color w:val="auto"/>
          <w:sz w:val="24"/>
          <w:szCs w:val="24"/>
          <w:lang w:val="en-US" w:eastAsia="zh-CN"/>
        </w:rPr>
        <w:t>年销售成品汽油2400吨、成品柴油1250吨</w:t>
      </w:r>
      <w:r>
        <w:rPr>
          <w:rFonts w:hint="default" w:ascii="Times New Roman" w:hAnsi="Times New Roman" w:eastAsia="宋体" w:cs="Times New Roman"/>
          <w:color w:val="auto"/>
          <w:sz w:val="24"/>
          <w:szCs w:val="24"/>
          <w:lang w:val="en-US" w:eastAsia="zh-CN"/>
        </w:rPr>
        <w:t>设备</w:t>
      </w:r>
      <w:r>
        <w:rPr>
          <w:rFonts w:hint="default" w:ascii="Times New Roman" w:hAnsi="Times New Roman" w:eastAsia="宋体" w:cs="Times New Roman"/>
          <w:color w:val="auto"/>
          <w:sz w:val="24"/>
          <w:szCs w:val="24"/>
        </w:rPr>
        <w:t>及其配套环保设施。</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二、工程变更情况</w:t>
      </w:r>
    </w:p>
    <w:p>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（1）废水处理方式</w:t>
      </w:r>
    </w:p>
    <w:p>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环评批复要求本项目生活污水经化粪池预处理后，和冲洗废水经市政污水管道排入临清市碧水污水处理厂进行处理。实际地面冲洗废水全部自然蒸发，不外排；项目废水主要为职工、顾客生活污水，生活污水排入化粪池，定期清掏外运，不外排。</w:t>
      </w:r>
    </w:p>
    <w:p>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（2）结论</w:t>
      </w:r>
    </w:p>
    <w:p>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通过现场调查，对照环评报告及审批意见，根据《关于印发环评管理中部分行业建设项目重大变动清单的通知》环办[2015]52号，以上变动不属于重大变更。</w:t>
      </w:r>
    </w:p>
    <w:p>
      <w:pPr>
        <w:pStyle w:val="9"/>
        <w:numPr>
          <w:ilvl w:val="0"/>
          <w:numId w:val="1"/>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环境保护设施落实情况</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（一）废水污染源及其治理措施</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本项目无生产废水产生。</w:t>
      </w:r>
      <w:r>
        <w:rPr>
          <w:rFonts w:hint="eastAsia" w:cs="Times New Roman"/>
          <w:color w:val="auto"/>
          <w:kern w:val="2"/>
          <w:sz w:val="24"/>
          <w:szCs w:val="24"/>
          <w:lang w:val="en-US" w:eastAsia="zh-CN" w:bidi="ar-SA"/>
        </w:rPr>
        <w:t>地面拖洗水</w:t>
      </w:r>
      <w:r>
        <w:rPr>
          <w:rFonts w:hint="default" w:ascii="Times New Roman" w:hAnsi="Times New Roman" w:eastAsia="宋体" w:cs="Times New Roman"/>
          <w:color w:val="auto"/>
          <w:kern w:val="2"/>
          <w:sz w:val="24"/>
          <w:szCs w:val="24"/>
          <w:lang w:val="en-US" w:eastAsia="zh-CN" w:bidi="ar-SA"/>
        </w:rPr>
        <w:t>全部自然蒸发，不外排；项目废水主要为职工、顾客生活污水，生活污水排入化粪池，定期清掏外运。</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（二）废气污染源及其治理措施</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本项目产生的废气主要为油品的损耗而扩散到大气环境中的非甲烷总烃和进出加油站车辆排放的尾气。为减少加油站大气污染物对环境的影响，项目配置油气回收系统，对卸油、加油、储油的挥发油气经“三级回收”处理，以满足《加油站大气污染物排放标准》要求。加油车辆在站内行程较短，排放量较小。露天空旷条件下无组织扩散，对周围环境影响较小。</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（三）噪声</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 xml:space="preserve">本项目产生的噪声主要为项目区内来往的机动车行驶产生的交通噪声。建设单位采取加强车辆管理，合理组织交通，站区禁止鸣笛，严格控制车辆噪声，降低对外环境的影响。 </w:t>
      </w:r>
    </w:p>
    <w:p>
      <w:pPr>
        <w:spacing w:line="360" w:lineRule="auto"/>
        <w:ind w:left="233" w:leftChars="111" w:firstLine="518" w:firstLineChars="216"/>
        <w:jc w:val="left"/>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rPr>
        <w:t>（四）固体废物</w:t>
      </w:r>
    </w:p>
    <w:p>
      <w:pPr>
        <w:pStyle w:val="9"/>
        <w:numPr>
          <w:ilvl w:val="0"/>
          <w:numId w:val="0"/>
        </w:num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bidi="ar-SA"/>
        </w:rPr>
      </w:pPr>
      <w:r>
        <w:rPr>
          <w:rFonts w:hint="default" w:ascii="Times New Roman" w:hAnsi="Times New Roman" w:eastAsia="宋体" w:cs="Times New Roman"/>
          <w:snapToGrid w:val="0"/>
          <w:color w:val="auto"/>
          <w:kern w:val="0"/>
          <w:sz w:val="24"/>
          <w:szCs w:val="24"/>
          <w:lang w:val="en-US" w:eastAsia="zh-CN" w:bidi="ar-SA"/>
        </w:rPr>
        <w:t>本项目主要固废为职工生活垃圾及油罐清理时产生的油泥、油罐清洗废水、</w:t>
      </w:r>
      <w:r>
        <w:rPr>
          <w:rFonts w:hint="eastAsia" w:cs="Times New Roman"/>
          <w:snapToGrid w:val="0"/>
          <w:color w:val="auto"/>
          <w:kern w:val="0"/>
          <w:sz w:val="24"/>
          <w:szCs w:val="24"/>
          <w:lang w:val="en-US" w:eastAsia="zh-CN" w:bidi="ar-SA"/>
        </w:rPr>
        <w:t>废活性炭及废弃的含有棉纱</w:t>
      </w:r>
      <w:r>
        <w:rPr>
          <w:rFonts w:hint="default" w:ascii="Times New Roman" w:hAnsi="Times New Roman" w:eastAsia="宋体" w:cs="Times New Roman"/>
          <w:snapToGrid w:val="0"/>
          <w:color w:val="auto"/>
          <w:kern w:val="0"/>
          <w:sz w:val="24"/>
          <w:szCs w:val="24"/>
          <w:lang w:val="en-US" w:eastAsia="zh-CN" w:bidi="ar-SA"/>
        </w:rPr>
        <w:t>。生活垃圾及废弃的含油棉纱经收集后由当地环卫部门统一清运。项目储油罐大约10年清理一次，清理的油泥和清洗废水属于危险废物，委托专业人员清理，并直接由有资质单位运走，进行无害化处置；活性炭吸附饱和后更换的废活性炭的属于危险废物，委托专业人员更换，并直接由有资质单位运走，进行无害化处置。</w:t>
      </w:r>
    </w:p>
    <w:p>
      <w:pPr>
        <w:pStyle w:val="9"/>
        <w:numPr>
          <w:ilvl w:val="0"/>
          <w:numId w:val="0"/>
        </w:num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bidi="ar-SA"/>
        </w:rPr>
      </w:pPr>
      <w:r>
        <w:rPr>
          <w:rFonts w:hint="default" w:ascii="Times New Roman" w:hAnsi="Times New Roman" w:eastAsia="宋体" w:cs="Times New Roman"/>
          <w:snapToGrid w:val="0"/>
          <w:color w:val="auto"/>
          <w:kern w:val="0"/>
          <w:sz w:val="24"/>
          <w:szCs w:val="24"/>
          <w:lang w:val="en-US" w:eastAsia="zh-CN" w:bidi="ar-SA"/>
        </w:rPr>
        <w:t>四、验收监测结果</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（一）环保设施运行检测结果</w:t>
      </w:r>
    </w:p>
    <w:p>
      <w:pPr>
        <w:widowControl/>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eastAsia="zh-CN"/>
        </w:rPr>
        <w:t>山东聊和环保科技有限公司</w:t>
      </w:r>
      <w:r>
        <w:rPr>
          <w:rFonts w:hint="default" w:ascii="Times New Roman" w:hAnsi="Times New Roman" w:eastAsia="宋体" w:cs="Times New Roman"/>
          <w:color w:val="auto"/>
          <w:sz w:val="24"/>
          <w:szCs w:val="24"/>
        </w:rPr>
        <w:t>出具的</w:t>
      </w:r>
      <w:r>
        <w:rPr>
          <w:rFonts w:hint="default" w:ascii="Times New Roman" w:hAnsi="Times New Roman" w:eastAsia="宋体" w:cs="Times New Roman"/>
          <w:b w:val="0"/>
          <w:bCs w:val="0"/>
          <w:color w:val="auto"/>
          <w:sz w:val="24"/>
          <w:szCs w:val="24"/>
        </w:rPr>
        <w:t>《</w:t>
      </w:r>
      <w:r>
        <w:rPr>
          <w:rFonts w:hint="eastAsia" w:cs="Times New Roman"/>
          <w:b w:val="0"/>
          <w:bCs w:val="0"/>
          <w:color w:val="auto"/>
          <w:sz w:val="24"/>
          <w:szCs w:val="24"/>
          <w:lang w:val="en-US" w:eastAsia="zh-CN"/>
        </w:rPr>
        <w:t>中国石油天然气股份有限公司山东聊城销售分公司第五十加油站项目</w:t>
      </w:r>
      <w:r>
        <w:rPr>
          <w:rFonts w:hint="default" w:ascii="Times New Roman" w:hAnsi="Times New Roman" w:eastAsia="宋体" w:cs="Times New Roman"/>
          <w:color w:val="auto"/>
          <w:sz w:val="24"/>
          <w:szCs w:val="24"/>
        </w:rPr>
        <w:t>竣工环境保护验收监测报告》监测结果表明：</w:t>
      </w:r>
    </w:p>
    <w:p>
      <w:pPr>
        <w:numPr>
          <w:ilvl w:val="0"/>
          <w:numId w:val="2"/>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eastAsia="zh-CN"/>
        </w:rPr>
        <w:t>废水</w:t>
      </w:r>
    </w:p>
    <w:p>
      <w:pPr>
        <w:spacing w:line="360" w:lineRule="auto"/>
        <w:ind w:left="233" w:leftChars="111" w:firstLine="518" w:firstLineChars="216"/>
        <w:rPr>
          <w:rFonts w:hint="default" w:ascii="Times New Roman" w:hAnsi="Times New Roman" w:eastAsia="宋体" w:cs="Times New Roman"/>
          <w:b w:val="0"/>
          <w:bCs w:val="0"/>
          <w:color w:val="auto"/>
          <w:sz w:val="24"/>
          <w:szCs w:val="24"/>
          <w:lang w:val="en-US" w:eastAsia="zh-CN"/>
        </w:rPr>
      </w:pPr>
      <w:r>
        <w:rPr>
          <w:rFonts w:hint="default" w:ascii="Times New Roman" w:hAnsi="Times New Roman" w:eastAsia="宋体" w:cs="Times New Roman"/>
          <w:color w:val="auto"/>
          <w:sz w:val="24"/>
          <w:szCs w:val="24"/>
          <w:lang w:val="en-US" w:eastAsia="zh-CN"/>
        </w:rPr>
        <w:t>本项目无生产废水产生。</w:t>
      </w:r>
      <w:r>
        <w:rPr>
          <w:rFonts w:hint="eastAsia" w:cs="Times New Roman"/>
          <w:color w:val="auto"/>
          <w:sz w:val="24"/>
          <w:szCs w:val="24"/>
          <w:lang w:val="en-US" w:eastAsia="zh-CN"/>
        </w:rPr>
        <w:t>地面拖洗水</w:t>
      </w:r>
      <w:r>
        <w:rPr>
          <w:rFonts w:hint="default" w:ascii="Times New Roman" w:hAnsi="Times New Roman" w:eastAsia="宋体" w:cs="Times New Roman"/>
          <w:color w:val="auto"/>
          <w:sz w:val="24"/>
          <w:szCs w:val="24"/>
          <w:lang w:val="en-US" w:eastAsia="zh-CN"/>
        </w:rPr>
        <w:t>全部自然蒸发，不外排；项目废水主要为职工、顾客生活污水，生活污水排入化粪池，定期清掏外运。</w:t>
      </w:r>
    </w:p>
    <w:p>
      <w:pPr>
        <w:numPr>
          <w:ilvl w:val="0"/>
          <w:numId w:val="3"/>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废气</w:t>
      </w:r>
    </w:p>
    <w:p>
      <w:pPr>
        <w:spacing w:line="360" w:lineRule="auto"/>
        <w:ind w:left="218" w:leftChars="104" w:firstLine="499" w:firstLineChars="208"/>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sz w:val="24"/>
          <w:szCs w:val="24"/>
          <w:lang w:val="zh-CN" w:eastAsia="zh-CN"/>
        </w:rPr>
        <w:t>验收监测期间，无组织非甲烷总烃小时浓度最高为0.</w:t>
      </w:r>
      <w:r>
        <w:rPr>
          <w:rFonts w:hint="eastAsia" w:ascii="Times New Roman" w:hAnsi="Times New Roman" w:eastAsia="宋体" w:cs="Times New Roman"/>
          <w:color w:val="auto"/>
          <w:sz w:val="24"/>
          <w:szCs w:val="24"/>
          <w:lang w:val="en-US" w:eastAsia="zh-CN"/>
        </w:rPr>
        <w:t>58</w:t>
      </w:r>
      <w:r>
        <w:rPr>
          <w:rFonts w:hint="default" w:ascii="Times New Roman" w:hAnsi="Times New Roman" w:eastAsia="宋体" w:cs="Times New Roman"/>
          <w:color w:val="auto"/>
          <w:sz w:val="24"/>
          <w:szCs w:val="24"/>
          <w:lang w:val="zh-CN" w:eastAsia="zh-CN"/>
        </w:rPr>
        <w:t>mg/m</w:t>
      </w:r>
      <w:r>
        <w:rPr>
          <w:rFonts w:hint="default" w:ascii="Times New Roman" w:hAnsi="Times New Roman" w:eastAsia="宋体" w:cs="Times New Roman"/>
          <w:color w:val="auto"/>
          <w:sz w:val="24"/>
          <w:szCs w:val="24"/>
          <w:vertAlign w:val="superscript"/>
          <w:lang w:val="zh-CN" w:eastAsia="zh-CN"/>
        </w:rPr>
        <w:t>3</w:t>
      </w:r>
      <w:r>
        <w:rPr>
          <w:rFonts w:hint="default" w:ascii="Times New Roman" w:hAnsi="Times New Roman" w:eastAsia="宋体" w:cs="Times New Roman"/>
          <w:color w:val="auto"/>
          <w:sz w:val="24"/>
          <w:szCs w:val="24"/>
          <w:lang w:val="zh-CN" w:eastAsia="zh-CN"/>
        </w:rPr>
        <w:t>，满足《大气污染物综合排放标准》（GB16297-1996）表2中的无组织排放标准要求。且</w:t>
      </w:r>
      <w:r>
        <w:rPr>
          <w:rFonts w:hint="default" w:ascii="Times New Roman" w:hAnsi="Times New Roman" w:eastAsia="宋体" w:cs="Times New Roman"/>
          <w:color w:val="auto"/>
          <w:sz w:val="24"/>
          <w:szCs w:val="24"/>
          <w:lang w:eastAsia="zh-CN"/>
        </w:rPr>
        <w:t>根据根据企业出具油气回收</w:t>
      </w:r>
      <w:r>
        <w:rPr>
          <w:rFonts w:hint="eastAsia" w:ascii="Times New Roman" w:hAnsi="Times New Roman" w:eastAsia="宋体" w:cs="Times New Roman"/>
          <w:color w:val="auto"/>
          <w:sz w:val="24"/>
          <w:szCs w:val="24"/>
          <w:lang w:eastAsia="zh-CN"/>
        </w:rPr>
        <w:t>监测</w:t>
      </w:r>
      <w:r>
        <w:rPr>
          <w:rFonts w:hint="default" w:ascii="Times New Roman" w:hAnsi="Times New Roman" w:eastAsia="宋体" w:cs="Times New Roman"/>
          <w:color w:val="auto"/>
          <w:sz w:val="24"/>
          <w:szCs w:val="24"/>
          <w:lang w:eastAsia="zh-CN"/>
        </w:rPr>
        <w:t>报告，监测结果表明，油气回收系统密闭性、油气回收管线液阻和油气回收系统气液比以及处理装置油气排放浓度均满足</w:t>
      </w:r>
      <w:r>
        <w:rPr>
          <w:rFonts w:hint="default" w:ascii="Times New Roman" w:hAnsi="Times New Roman" w:eastAsia="宋体" w:cs="Times New Roman"/>
          <w:color w:val="auto"/>
          <w:sz w:val="24"/>
          <w:szCs w:val="24"/>
          <w:lang w:val="en-US" w:eastAsia="zh-CN"/>
        </w:rPr>
        <w:t>《加油站大气污染物排放标准》（GB20952-2007）中相关标准要求。</w:t>
      </w:r>
    </w:p>
    <w:p>
      <w:pPr>
        <w:spacing w:line="360" w:lineRule="auto"/>
        <w:ind w:left="218" w:leftChars="104" w:firstLine="499" w:firstLineChars="208"/>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rPr>
        <w:t>. 噪声</w:t>
      </w:r>
    </w:p>
    <w:p>
      <w:pPr>
        <w:spacing w:line="360" w:lineRule="auto"/>
        <w:ind w:left="218" w:leftChars="104" w:firstLine="499" w:firstLineChars="208"/>
        <w:rPr>
          <w:rFonts w:hint="default" w:ascii="Times New Roman" w:hAnsi="Times New Roman" w:eastAsia="宋体" w:cs="Times New Roman"/>
          <w:color w:val="000000"/>
          <w:kern w:val="2"/>
          <w:sz w:val="24"/>
          <w:szCs w:val="24"/>
          <w:lang w:val="en-US" w:eastAsia="zh-CN" w:bidi="ar-SA"/>
        </w:rPr>
      </w:pPr>
      <w:r>
        <w:rPr>
          <w:rFonts w:hint="default" w:ascii="Times New Roman" w:hAnsi="Times New Roman" w:eastAsia="宋体" w:cs="Times New Roman"/>
          <w:color w:val="000000"/>
          <w:kern w:val="2"/>
          <w:sz w:val="24"/>
          <w:szCs w:val="24"/>
          <w:lang w:val="en-US" w:eastAsia="zh-CN" w:bidi="ar-SA"/>
        </w:rPr>
        <w:t>验收监测期间，1#、4#监测点位昼间噪声在57.6-60.0（dB）之间，夜间噪声在47.4-48.6（dB）之间，符合《工业企业厂界环境噪声排放标准》（GB12348－2008）中的2类标准限值。2#、3#监测点位昼间噪声在66.0-68.2（dB）之间，夜间噪声在52.2-53.6（dB）之间，符合《工业企业厂界环境噪声排放标准》中的4a类标准限值。</w:t>
      </w:r>
    </w:p>
    <w:p>
      <w:pPr>
        <w:numPr>
          <w:ilvl w:val="0"/>
          <w:numId w:val="4"/>
        </w:numPr>
        <w:spacing w:line="360" w:lineRule="auto"/>
        <w:ind w:left="233" w:leftChars="111" w:firstLine="518" w:firstLineChars="216"/>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固体废物</w:t>
      </w:r>
    </w:p>
    <w:p>
      <w:pPr>
        <w:spacing w:line="360" w:lineRule="auto"/>
        <w:ind w:left="233" w:leftChars="111" w:firstLine="518" w:firstLineChars="216"/>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本项目主要固废为职工生活垃圾及油罐清理时产生的油泥、油罐清洗废水、</w:t>
      </w:r>
      <w:r>
        <w:rPr>
          <w:rFonts w:hint="eastAsia" w:cs="Times New Roman"/>
          <w:color w:val="auto"/>
          <w:sz w:val="24"/>
          <w:szCs w:val="24"/>
          <w:lang w:val="en-US" w:eastAsia="zh-CN"/>
        </w:rPr>
        <w:t>废活性炭及废弃的含有棉纱</w:t>
      </w:r>
      <w:r>
        <w:rPr>
          <w:rFonts w:hint="default" w:ascii="Times New Roman" w:hAnsi="Times New Roman" w:eastAsia="宋体" w:cs="Times New Roman"/>
          <w:color w:val="auto"/>
          <w:sz w:val="24"/>
          <w:szCs w:val="24"/>
          <w:lang w:val="en-US" w:eastAsia="zh-CN"/>
        </w:rPr>
        <w:t>。生活垃圾及废弃的含油棉纱经收集后由当地环卫部门统一清运。项目储油罐大约10年清理一次，清理的油泥和清洗废水属于危险废物，委托专业人员清理，并直接由有资质单位运走，进行无害化处置；活性炭吸附饱和后更换的废活性炭的属于危险废物，委托专业人员更换，并直接由有资质单位运走，进行无害化处置</w:t>
      </w:r>
      <w:r>
        <w:rPr>
          <w:rFonts w:hint="default" w:ascii="Times New Roman" w:hAnsi="Times New Roman" w:eastAsia="宋体" w:cs="Times New Roman"/>
          <w:color w:val="auto"/>
          <w:sz w:val="24"/>
          <w:szCs w:val="24"/>
        </w:rPr>
        <w:t>。</w:t>
      </w:r>
    </w:p>
    <w:p>
      <w:pPr>
        <w:spacing w:beforeLines="50" w:line="360" w:lineRule="auto"/>
        <w:ind w:left="233" w:leftChars="111" w:firstLine="518" w:firstLineChars="216"/>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（二）环境管理调查</w:t>
      </w:r>
    </w:p>
    <w:p>
      <w:pPr>
        <w:spacing w:line="360" w:lineRule="auto"/>
        <w:ind w:left="233" w:leftChars="111" w:firstLine="518" w:firstLineChars="216"/>
        <w:rPr>
          <w:rFonts w:hint="default" w:ascii="Times New Roman" w:hAnsi="Times New Roman" w:eastAsia="宋体" w:cs="Times New Roman"/>
          <w:color w:val="auto"/>
          <w:sz w:val="24"/>
          <w:szCs w:val="24"/>
        </w:rPr>
      </w:pPr>
      <w:r>
        <w:rPr>
          <w:rFonts w:hint="eastAsia" w:cs="Times New Roman"/>
          <w:color w:val="auto"/>
          <w:sz w:val="24"/>
          <w:szCs w:val="24"/>
          <w:lang w:eastAsia="zh-CN"/>
        </w:rPr>
        <w:t>中国石油天然气股份有限公司山东聊城销售分公司</w:t>
      </w:r>
      <w:r>
        <w:rPr>
          <w:rFonts w:hint="default" w:ascii="Times New Roman" w:hAnsi="Times New Roman" w:eastAsia="宋体" w:cs="Times New Roman"/>
          <w:color w:val="auto"/>
          <w:sz w:val="24"/>
          <w:szCs w:val="24"/>
        </w:rPr>
        <w:t>制定了《</w:t>
      </w:r>
      <w:r>
        <w:rPr>
          <w:rFonts w:hint="eastAsia" w:cs="Times New Roman"/>
          <w:color w:val="auto"/>
          <w:sz w:val="24"/>
          <w:szCs w:val="24"/>
          <w:lang w:eastAsia="zh-CN"/>
        </w:rPr>
        <w:t>中国石油天然气股份有限公司山东聊城销售分公司</w:t>
      </w:r>
      <w:r>
        <w:rPr>
          <w:rFonts w:hint="default" w:ascii="Times New Roman" w:hAnsi="Times New Roman" w:eastAsia="宋体" w:cs="Times New Roman"/>
          <w:color w:val="auto"/>
          <w:sz w:val="24"/>
          <w:szCs w:val="24"/>
        </w:rPr>
        <w:t>环保管理制度》</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并设立了相关机构。日常工作由</w:t>
      </w:r>
      <w:r>
        <w:rPr>
          <w:rFonts w:hint="eastAsia" w:cs="Times New Roman"/>
          <w:color w:val="auto"/>
          <w:sz w:val="24"/>
          <w:szCs w:val="24"/>
          <w:lang w:eastAsia="zh-CN"/>
        </w:rPr>
        <w:t>办公室</w:t>
      </w:r>
      <w:r>
        <w:rPr>
          <w:rFonts w:hint="default" w:ascii="Times New Roman" w:hAnsi="Times New Roman" w:eastAsia="宋体" w:cs="Times New Roman"/>
          <w:color w:val="auto"/>
          <w:sz w:val="24"/>
          <w:szCs w:val="24"/>
        </w:rPr>
        <w:t>管理，其主要职责是：行使公司环保工作的计划、组织、指挥、协调、检查和考核管理职能，日常一切工作须对公司负责。</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五、专家意见：</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在今后企业环保工作中，建议企业落实以下要求。</w:t>
      </w:r>
    </w:p>
    <w:p>
      <w:pPr>
        <w:pStyle w:val="5"/>
        <w:numPr>
          <w:ilvl w:val="0"/>
          <w:numId w:val="5"/>
        </w:numPr>
        <w:spacing w:line="360" w:lineRule="auto"/>
        <w:ind w:left="233" w:leftChars="111" w:firstLine="518" w:firstLineChars="216"/>
        <w:rPr>
          <w:rFonts w:hint="default" w:ascii="Times New Roman" w:hAnsi="Times New Roman" w:eastAsia="宋体" w:cs="Times New Roman"/>
          <w:color w:val="auto"/>
          <w:sz w:val="24"/>
          <w:szCs w:val="24"/>
          <w:lang w:val="en-US" w:eastAsia="zh-CN"/>
        </w:rPr>
      </w:pPr>
      <w:r>
        <w:rPr>
          <w:rFonts w:hint="eastAsia" w:ascii="Times New Roman" w:hAnsi="Times New Roman" w:cs="Times New Roman"/>
          <w:color w:val="auto"/>
          <w:sz w:val="24"/>
          <w:szCs w:val="24"/>
          <w:lang w:val="en-US" w:eastAsia="zh-CN"/>
        </w:rPr>
        <w:t>危废间门窗加防护，设置双锁。</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六、</w:t>
      </w:r>
      <w:r>
        <w:rPr>
          <w:rFonts w:hint="default" w:ascii="Times New Roman" w:hAnsi="Times New Roman" w:eastAsia="宋体" w:cs="Times New Roman"/>
          <w:color w:val="auto"/>
          <w:sz w:val="24"/>
          <w:szCs w:val="24"/>
        </w:rPr>
        <w:t>验收结论</w:t>
      </w:r>
    </w:p>
    <w:p>
      <w:pPr>
        <w:spacing w:line="360" w:lineRule="auto"/>
        <w:ind w:left="233" w:leftChars="111" w:firstLine="518" w:firstLineChars="216"/>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tabs>
          <w:tab w:val="left" w:pos="5955"/>
          <w:tab w:val="left" w:pos="6095"/>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鉴于项目符合国家和地方相关产业标准及准入要求，用地符合当地规划，环保设施与生产配套，验收期间各项监测指标满足国家相关排放标准，该项目通过环保验收。</w:t>
      </w:r>
    </w:p>
    <w:p>
      <w:pPr>
        <w:spacing w:line="360" w:lineRule="auto"/>
        <w:ind w:left="233" w:leftChars="111" w:firstLine="518" w:firstLineChars="216"/>
        <w:jc w:val="righ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 xml:space="preserve">                   </w:t>
      </w:r>
    </w:p>
    <w:p>
      <w:pPr>
        <w:spacing w:line="360" w:lineRule="auto"/>
        <w:ind w:left="233" w:leftChars="111" w:firstLine="518" w:firstLineChars="216"/>
        <w:jc w:val="right"/>
        <w:rPr>
          <w:rFonts w:hint="default" w:ascii="Times New Roman" w:hAnsi="Times New Roman" w:eastAsia="宋体" w:cs="Times New Roman"/>
          <w:color w:val="auto"/>
          <w:sz w:val="24"/>
          <w:szCs w:val="24"/>
        </w:rPr>
      </w:pPr>
    </w:p>
    <w:p>
      <w:pPr>
        <w:spacing w:line="360" w:lineRule="auto"/>
        <w:ind w:left="233" w:leftChars="111" w:firstLine="518" w:firstLineChars="216"/>
        <w:jc w:val="right"/>
        <w:rPr>
          <w:rFonts w:hint="default" w:ascii="Times New Roman" w:hAnsi="Times New Roman" w:eastAsia="宋体" w:cs="Times New Roman"/>
          <w:color w:val="auto"/>
          <w:sz w:val="24"/>
          <w:szCs w:val="24"/>
        </w:rPr>
      </w:pPr>
    </w:p>
    <w:p>
      <w:pPr>
        <w:spacing w:line="360" w:lineRule="auto"/>
        <w:ind w:left="233" w:leftChars="111" w:firstLine="518" w:firstLineChars="216"/>
        <w:jc w:val="right"/>
        <w:rPr>
          <w:rFonts w:hint="default" w:ascii="Times New Roman" w:hAnsi="Times New Roman" w:eastAsia="宋体" w:cs="Times New Roman"/>
          <w:color w:val="auto"/>
          <w:sz w:val="24"/>
          <w:szCs w:val="24"/>
        </w:rPr>
      </w:pPr>
      <w:r>
        <w:rPr>
          <w:rFonts w:hint="eastAsia" w:cs="Times New Roman"/>
          <w:color w:val="auto"/>
          <w:sz w:val="24"/>
          <w:szCs w:val="24"/>
          <w:lang w:eastAsia="zh-CN"/>
        </w:rPr>
        <w:t>中国石油天然气股份有限公司山东聊城销售分公司</w:t>
      </w:r>
      <w:r>
        <w:rPr>
          <w:rFonts w:hint="default" w:ascii="Times New Roman" w:hAnsi="Times New Roman" w:eastAsia="宋体" w:cs="Times New Roman"/>
          <w:color w:val="auto"/>
          <w:sz w:val="24"/>
          <w:szCs w:val="24"/>
        </w:rPr>
        <w:t>验收组</w:t>
      </w:r>
    </w:p>
    <w:p>
      <w:pPr>
        <w:spacing w:line="360" w:lineRule="auto"/>
        <w:ind w:left="233" w:leftChars="111" w:firstLine="518" w:firstLineChars="216"/>
        <w:jc w:val="right"/>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rPr>
        <w:t xml:space="preserve">          </w:t>
      </w:r>
      <w:r>
        <w:rPr>
          <w:rFonts w:hint="default" w:ascii="Times New Roman" w:hAnsi="Times New Roman" w:eastAsia="宋体" w:cs="Times New Roman"/>
          <w:color w:val="auto"/>
          <w:sz w:val="24"/>
          <w:szCs w:val="24"/>
          <w:highlight w:val="none"/>
        </w:rPr>
        <w:t xml:space="preserve">                      201</w:t>
      </w:r>
      <w:r>
        <w:rPr>
          <w:rFonts w:hint="eastAsia" w:ascii="Times New Roman" w:hAnsi="Times New Roman" w:eastAsia="宋体" w:cs="Times New Roman"/>
          <w:color w:val="auto"/>
          <w:sz w:val="24"/>
          <w:szCs w:val="24"/>
          <w:highlight w:val="none"/>
          <w:lang w:val="en-US" w:eastAsia="zh-CN"/>
        </w:rPr>
        <w:t>9</w:t>
      </w:r>
      <w:r>
        <w:rPr>
          <w:rFonts w:hint="default" w:ascii="Times New Roman" w:hAnsi="Times New Roman" w:eastAsia="宋体" w:cs="Times New Roman"/>
          <w:color w:val="auto"/>
          <w:sz w:val="24"/>
          <w:szCs w:val="24"/>
          <w:highlight w:val="none"/>
        </w:rPr>
        <w:t>年</w:t>
      </w:r>
      <w:r>
        <w:rPr>
          <w:rFonts w:hint="eastAsia" w:cs="Times New Roman"/>
          <w:color w:val="auto"/>
          <w:sz w:val="24"/>
          <w:szCs w:val="24"/>
          <w:highlight w:val="none"/>
          <w:lang w:val="en-US" w:eastAsia="zh-CN"/>
        </w:rPr>
        <w:t>8</w:t>
      </w:r>
      <w:r>
        <w:rPr>
          <w:rFonts w:hint="default" w:ascii="Times New Roman" w:hAnsi="Times New Roman" w:eastAsia="宋体" w:cs="Times New Roman"/>
          <w:color w:val="auto"/>
          <w:sz w:val="24"/>
          <w:szCs w:val="24"/>
          <w:highlight w:val="none"/>
        </w:rPr>
        <w:t>月</w:t>
      </w:r>
      <w:r>
        <w:rPr>
          <w:rFonts w:hint="eastAsia" w:cs="Times New Roman"/>
          <w:color w:val="auto"/>
          <w:sz w:val="24"/>
          <w:szCs w:val="24"/>
          <w:highlight w:val="none"/>
          <w:lang w:val="en-US" w:eastAsia="zh-CN"/>
        </w:rPr>
        <w:t>27</w:t>
      </w:r>
      <w:r>
        <w:rPr>
          <w:rFonts w:hint="default" w:ascii="Times New Roman" w:hAnsi="Times New Roman" w:eastAsia="宋体" w:cs="Times New Roman"/>
          <w:color w:val="auto"/>
          <w:sz w:val="24"/>
          <w:szCs w:val="24"/>
          <w:highlight w:val="none"/>
        </w:rPr>
        <w:t>日</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1F2F051"/>
    <w:multiLevelType w:val="singleLevel"/>
    <w:tmpl w:val="A1F2F051"/>
    <w:lvl w:ilvl="0" w:tentative="0">
      <w:start w:val="1"/>
      <w:numFmt w:val="decimal"/>
      <w:suff w:val="nothing"/>
      <w:lvlText w:val="%1、"/>
      <w:lvlJc w:val="left"/>
      <w:pPr>
        <w:ind w:left="560" w:leftChars="0" w:firstLine="0" w:firstLineChars="0"/>
      </w:pPr>
    </w:lvl>
  </w:abstractNum>
  <w:abstractNum w:abstractNumId="1">
    <w:nsid w:val="C65E2C2C"/>
    <w:multiLevelType w:val="singleLevel"/>
    <w:tmpl w:val="C65E2C2C"/>
    <w:lvl w:ilvl="0" w:tentative="0">
      <w:start w:val="4"/>
      <w:numFmt w:val="decimal"/>
      <w:suff w:val="space"/>
      <w:lvlText w:val="%1."/>
      <w:lvlJc w:val="left"/>
    </w:lvl>
  </w:abstractNum>
  <w:abstractNum w:abstractNumId="2">
    <w:nsid w:val="EC370676"/>
    <w:multiLevelType w:val="singleLevel"/>
    <w:tmpl w:val="EC370676"/>
    <w:lvl w:ilvl="0" w:tentative="0">
      <w:start w:val="1"/>
      <w:numFmt w:val="decimal"/>
      <w:suff w:val="space"/>
      <w:lvlText w:val="%1."/>
      <w:lvlJc w:val="left"/>
    </w:lvl>
  </w:abstractNum>
  <w:abstractNum w:abstractNumId="3">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4">
    <w:nsid w:val="4401761E"/>
    <w:multiLevelType w:val="singleLevel"/>
    <w:tmpl w:val="4401761E"/>
    <w:lvl w:ilvl="0" w:tentative="0">
      <w:start w:val="2"/>
      <w:numFmt w:val="decimal"/>
      <w:suff w:val="space"/>
      <w:lvlText w:val="%1."/>
      <w:lvlJc w:val="left"/>
    </w:lvl>
  </w:abstractNum>
  <w:num w:numId="1">
    <w:abstractNumId w:val="3"/>
  </w:num>
  <w:num w:numId="2">
    <w:abstractNumId w:val="2"/>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A67464"/>
    <w:rsid w:val="02E1230E"/>
    <w:rsid w:val="0363342C"/>
    <w:rsid w:val="0400088B"/>
    <w:rsid w:val="0705220E"/>
    <w:rsid w:val="0A775B6C"/>
    <w:rsid w:val="0BB105F9"/>
    <w:rsid w:val="0BCD78E3"/>
    <w:rsid w:val="0BD4352F"/>
    <w:rsid w:val="0D002E61"/>
    <w:rsid w:val="0E9F521D"/>
    <w:rsid w:val="106C213C"/>
    <w:rsid w:val="110D6D4E"/>
    <w:rsid w:val="13242E95"/>
    <w:rsid w:val="17073D8B"/>
    <w:rsid w:val="188E6607"/>
    <w:rsid w:val="18D05E89"/>
    <w:rsid w:val="19BD6A9B"/>
    <w:rsid w:val="1AAF6CA7"/>
    <w:rsid w:val="1ABA50DF"/>
    <w:rsid w:val="1B753DC5"/>
    <w:rsid w:val="1E9D1B02"/>
    <w:rsid w:val="20F95110"/>
    <w:rsid w:val="21E62141"/>
    <w:rsid w:val="23253252"/>
    <w:rsid w:val="24DD3549"/>
    <w:rsid w:val="25BB7F8E"/>
    <w:rsid w:val="27420539"/>
    <w:rsid w:val="284C33EF"/>
    <w:rsid w:val="286B6E9D"/>
    <w:rsid w:val="2BD129D7"/>
    <w:rsid w:val="2BFB35B9"/>
    <w:rsid w:val="2C8345D6"/>
    <w:rsid w:val="2E594393"/>
    <w:rsid w:val="31572BC2"/>
    <w:rsid w:val="35A21894"/>
    <w:rsid w:val="371221B6"/>
    <w:rsid w:val="3B2962D5"/>
    <w:rsid w:val="3B9345B4"/>
    <w:rsid w:val="3C495586"/>
    <w:rsid w:val="3C614E95"/>
    <w:rsid w:val="3D216C63"/>
    <w:rsid w:val="3D481CA9"/>
    <w:rsid w:val="3DBD45E8"/>
    <w:rsid w:val="42450FE8"/>
    <w:rsid w:val="425A3055"/>
    <w:rsid w:val="42D02360"/>
    <w:rsid w:val="440B2C50"/>
    <w:rsid w:val="45B12AB5"/>
    <w:rsid w:val="4BC32318"/>
    <w:rsid w:val="4D966CB6"/>
    <w:rsid w:val="51603323"/>
    <w:rsid w:val="52082039"/>
    <w:rsid w:val="520B1012"/>
    <w:rsid w:val="56DD1623"/>
    <w:rsid w:val="5B994AD0"/>
    <w:rsid w:val="5BB97A85"/>
    <w:rsid w:val="5C705EEE"/>
    <w:rsid w:val="5D580A9C"/>
    <w:rsid w:val="5F0C4CFF"/>
    <w:rsid w:val="602A22C2"/>
    <w:rsid w:val="64C4763E"/>
    <w:rsid w:val="65826A80"/>
    <w:rsid w:val="66FB5067"/>
    <w:rsid w:val="6A4209DB"/>
    <w:rsid w:val="6ABA50EB"/>
    <w:rsid w:val="6DEB0CC4"/>
    <w:rsid w:val="6E620EC2"/>
    <w:rsid w:val="72964393"/>
    <w:rsid w:val="72C90F73"/>
    <w:rsid w:val="7593546D"/>
    <w:rsid w:val="75C3338A"/>
    <w:rsid w:val="77930543"/>
    <w:rsid w:val="790E64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eastAsia="宋体" w:cs="Times New Roman"/>
      <w:sz w:val="28"/>
      <w:szCs w:val="28"/>
    </w:rPr>
  </w:style>
  <w:style w:type="paragraph" w:styleId="3">
    <w:name w:val="annotation text"/>
    <w:basedOn w:val="1"/>
    <w:semiHidden/>
    <w:unhideWhenUsed/>
    <w:qFormat/>
    <w:uiPriority w:val="99"/>
    <w:pPr>
      <w:jc w:val="left"/>
    </w:pPr>
  </w:style>
  <w:style w:type="paragraph" w:styleId="4">
    <w:name w:val="Block Text"/>
    <w:basedOn w:val="1"/>
    <w:semiHidden/>
    <w:unhideWhenUsed/>
    <w:qFormat/>
    <w:uiPriority w:val="99"/>
    <w:pPr>
      <w:adjustRightInd/>
      <w:ind w:left="525" w:leftChars="250" w:right="685" w:rightChars="326" w:firstLine="560"/>
      <w:jc w:val="both"/>
      <w:textAlignment w:val="auto"/>
    </w:pPr>
    <w:rPr>
      <w:sz w:val="28"/>
      <w:szCs w:val="24"/>
    </w:rPr>
  </w:style>
  <w:style w:type="paragraph" w:styleId="5">
    <w:name w:val="Plain Text"/>
    <w:basedOn w:val="1"/>
    <w:semiHidden/>
    <w:unhideWhenUsed/>
    <w:qFormat/>
    <w:uiPriority w:val="99"/>
    <w:rPr>
      <w:rFonts w:ascii="宋体" w:hAnsi="Courier New" w:cs="Courier New"/>
      <w:szCs w:val="21"/>
    </w:rPr>
  </w:style>
  <w:style w:type="table" w:styleId="7">
    <w:name w:val="Table Grid"/>
    <w:basedOn w:val="6"/>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styleId="9">
    <w:name w:val="List Paragraph"/>
    <w:basedOn w:val="1"/>
    <w:qFormat/>
    <w:uiPriority w:val="99"/>
    <w:pPr>
      <w:ind w:firstLine="420" w:firstLineChars="200"/>
    </w:pPr>
  </w:style>
  <w:style w:type="paragraph" w:customStyle="1" w:styleId="10">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Office_11.1.0.8976_F1E327BC-269C-435d-A152-05C5408002CA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不二橙</cp:lastModifiedBy>
  <dcterms:modified xsi:type="dcterms:W3CDTF">2019-09-23T02:57:19Z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