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ind w:left="233" w:leftChars="111" w:firstLine="694" w:firstLineChars="216"/>
        <w:jc w:val="center"/>
        <w:rPr>
          <w:rFonts w:hint="default" w:ascii="Times New Roman" w:hAnsi="Times New Roman" w:eastAsia="宋体" w:cs="Times New Roman"/>
          <w:b/>
          <w:color w:val="auto"/>
          <w:sz w:val="32"/>
          <w:szCs w:val="32"/>
          <w:lang w:val="en-US" w:eastAsia="zh-CN"/>
        </w:rPr>
      </w:pPr>
      <w:r>
        <w:rPr>
          <w:rFonts w:hint="eastAsia" w:cs="Times New Roman"/>
          <w:b/>
          <w:color w:val="auto"/>
          <w:sz w:val="32"/>
          <w:szCs w:val="32"/>
          <w:lang w:val="en-US" w:eastAsia="zh-CN"/>
        </w:rPr>
        <w:t>东阿县滕宇钢球有限公司年产400吨钢球项目（一期）</w:t>
      </w:r>
    </w:p>
    <w:p>
      <w:pPr>
        <w:tabs>
          <w:tab w:val="left" w:pos="220"/>
        </w:tabs>
        <w:spacing w:line="360" w:lineRule="auto"/>
        <w:ind w:left="233" w:leftChars="111" w:firstLine="694" w:firstLineChars="216"/>
        <w:jc w:val="center"/>
        <w:rPr>
          <w:rFonts w:hint="default" w:ascii="Times New Roman" w:hAnsi="Times New Roman" w:eastAsia="宋体" w:cs="Times New Roman"/>
          <w:b/>
          <w:color w:val="auto"/>
          <w:sz w:val="32"/>
          <w:szCs w:val="32"/>
        </w:rPr>
      </w:pPr>
      <w:r>
        <w:rPr>
          <w:rFonts w:hint="default" w:ascii="Times New Roman" w:hAnsi="Times New Roman" w:eastAsia="宋体" w:cs="Times New Roman"/>
          <w:b/>
          <w:color w:val="auto"/>
          <w:sz w:val="32"/>
          <w:szCs w:val="32"/>
          <w:lang w:val="en-US" w:eastAsia="zh-CN"/>
        </w:rPr>
        <w:t>竣工</w:t>
      </w:r>
      <w:r>
        <w:rPr>
          <w:rFonts w:hint="default" w:ascii="Times New Roman" w:hAnsi="Times New Roman" w:eastAsia="宋体" w:cs="Times New Roman"/>
          <w:b/>
          <w:color w:val="auto"/>
          <w:sz w:val="32"/>
          <w:szCs w:val="32"/>
        </w:rPr>
        <w:t>环境保护验收现场检查及验收工作组验收意见</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highlight w:val="none"/>
        </w:rPr>
        <w:t>201</w:t>
      </w:r>
      <w:r>
        <w:rPr>
          <w:rFonts w:hint="default" w:ascii="Times New Roman" w:hAnsi="Times New Roman" w:eastAsia="宋体" w:cs="Times New Roman"/>
          <w:color w:val="auto"/>
          <w:sz w:val="28"/>
          <w:szCs w:val="28"/>
          <w:highlight w:val="none"/>
          <w:lang w:val="en-US" w:eastAsia="zh-CN"/>
        </w:rPr>
        <w:t>9</w:t>
      </w:r>
      <w:r>
        <w:rPr>
          <w:rFonts w:hint="default" w:ascii="Times New Roman" w:hAnsi="Times New Roman" w:eastAsia="宋体" w:cs="Times New Roman"/>
          <w:color w:val="auto"/>
          <w:sz w:val="28"/>
          <w:szCs w:val="28"/>
          <w:highlight w:val="none"/>
        </w:rPr>
        <w:t>年</w:t>
      </w:r>
      <w:r>
        <w:rPr>
          <w:rFonts w:hint="eastAsia" w:cs="Times New Roman"/>
          <w:color w:val="auto"/>
          <w:sz w:val="28"/>
          <w:szCs w:val="28"/>
          <w:highlight w:val="none"/>
          <w:lang w:val="en-US" w:eastAsia="zh-CN"/>
        </w:rPr>
        <w:t>11</w:t>
      </w:r>
      <w:r>
        <w:rPr>
          <w:rFonts w:hint="default" w:ascii="Times New Roman" w:hAnsi="Times New Roman" w:eastAsia="宋体" w:cs="Times New Roman"/>
          <w:color w:val="auto"/>
          <w:sz w:val="28"/>
          <w:szCs w:val="28"/>
          <w:highlight w:val="none"/>
        </w:rPr>
        <w:t>月</w:t>
      </w:r>
      <w:r>
        <w:rPr>
          <w:rFonts w:hint="default" w:ascii="Times New Roman" w:hAnsi="Times New Roman" w:eastAsia="宋体" w:cs="Times New Roman"/>
          <w:color w:val="auto"/>
          <w:sz w:val="28"/>
          <w:szCs w:val="28"/>
          <w:highlight w:val="none"/>
          <w:lang w:val="en-US" w:eastAsia="zh-CN"/>
        </w:rPr>
        <w:t>1</w:t>
      </w:r>
      <w:r>
        <w:rPr>
          <w:rFonts w:hint="eastAsia" w:cs="Times New Roman"/>
          <w:color w:val="auto"/>
          <w:sz w:val="28"/>
          <w:szCs w:val="28"/>
          <w:highlight w:val="none"/>
          <w:lang w:val="en-US" w:eastAsia="zh-CN"/>
        </w:rPr>
        <w:t>0</w:t>
      </w:r>
      <w:r>
        <w:rPr>
          <w:rFonts w:hint="default" w:ascii="Times New Roman" w:hAnsi="Times New Roman" w:eastAsia="宋体" w:cs="Times New Roman"/>
          <w:color w:val="auto"/>
          <w:sz w:val="28"/>
          <w:szCs w:val="28"/>
          <w:highlight w:val="none"/>
        </w:rPr>
        <w:t>日</w:t>
      </w:r>
      <w:r>
        <w:rPr>
          <w:rFonts w:hint="default" w:ascii="Times New Roman" w:hAnsi="Times New Roman" w:eastAsia="宋体" w:cs="Times New Roman"/>
          <w:color w:val="auto"/>
          <w:sz w:val="28"/>
          <w:szCs w:val="28"/>
        </w:rPr>
        <w:t>，</w:t>
      </w:r>
      <w:r>
        <w:rPr>
          <w:rFonts w:hint="eastAsia" w:cs="Times New Roman"/>
          <w:color w:val="auto"/>
          <w:sz w:val="28"/>
          <w:szCs w:val="28"/>
          <w:lang w:val="en-US" w:eastAsia="zh-CN"/>
        </w:rPr>
        <w:t>东阿县滕宇钢球有限公司</w:t>
      </w:r>
      <w:r>
        <w:rPr>
          <w:rFonts w:hint="default" w:ascii="Times New Roman" w:hAnsi="Times New Roman" w:eastAsia="宋体" w:cs="Times New Roman"/>
          <w:color w:val="auto"/>
          <w:sz w:val="28"/>
          <w:szCs w:val="28"/>
          <w:highlight w:val="none"/>
        </w:rPr>
        <w:t>组织召开</w:t>
      </w:r>
      <w:r>
        <w:rPr>
          <w:rFonts w:hint="eastAsia" w:cs="Times New Roman"/>
          <w:color w:val="auto"/>
          <w:sz w:val="28"/>
          <w:szCs w:val="28"/>
          <w:highlight w:val="none"/>
          <w:lang w:val="en-US" w:eastAsia="zh-CN"/>
        </w:rPr>
        <w:t>年产400吨钢球项目（一期）</w:t>
      </w:r>
      <w:r>
        <w:rPr>
          <w:rFonts w:hint="default" w:ascii="Times New Roman" w:hAnsi="Times New Roman" w:eastAsia="宋体" w:cs="Times New Roman"/>
          <w:color w:val="auto"/>
          <w:sz w:val="28"/>
          <w:szCs w:val="28"/>
          <w:highlight w:val="none"/>
        </w:rPr>
        <w:t>竣</w:t>
      </w:r>
      <w:r>
        <w:rPr>
          <w:rFonts w:hint="default" w:ascii="Times New Roman" w:hAnsi="Times New Roman" w:eastAsia="宋体" w:cs="Times New Roman"/>
          <w:color w:val="auto"/>
          <w:sz w:val="28"/>
          <w:szCs w:val="28"/>
        </w:rPr>
        <w:t>工环境保护验收现场检查及验收及验收会。验收工作组由工程建设单位（</w:t>
      </w:r>
      <w:r>
        <w:rPr>
          <w:rFonts w:hint="eastAsia" w:cs="Times New Roman"/>
          <w:color w:val="auto"/>
          <w:sz w:val="28"/>
          <w:szCs w:val="28"/>
          <w:lang w:val="en-US" w:eastAsia="zh-CN"/>
        </w:rPr>
        <w:t>东阿县滕宇钢球有限公司</w:t>
      </w:r>
      <w:r>
        <w:rPr>
          <w:rFonts w:hint="default" w:ascii="Times New Roman" w:hAnsi="Times New Roman" w:eastAsia="宋体" w:cs="Times New Roman"/>
          <w:color w:val="auto"/>
          <w:sz w:val="28"/>
          <w:szCs w:val="28"/>
        </w:rPr>
        <w:t>）、</w:t>
      </w:r>
      <w:r>
        <w:rPr>
          <w:rFonts w:hint="eastAsia" w:cs="Times New Roman"/>
          <w:color w:val="auto"/>
          <w:sz w:val="28"/>
          <w:szCs w:val="28"/>
          <w:lang w:eastAsia="zh-CN"/>
        </w:rPr>
        <w:t>环评单位（山东斐然环保咨询有限公司）、</w:t>
      </w:r>
      <w:r>
        <w:rPr>
          <w:rFonts w:hint="default" w:ascii="Times New Roman" w:hAnsi="Times New Roman" w:eastAsia="宋体" w:cs="Times New Roman"/>
          <w:color w:val="auto"/>
          <w:sz w:val="28"/>
          <w:szCs w:val="28"/>
        </w:rPr>
        <w:t>监测单位（</w:t>
      </w: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）并特邀</w:t>
      </w:r>
      <w:r>
        <w:rPr>
          <w:rFonts w:hint="default" w:ascii="Times New Roman" w:hAnsi="Times New Roman" w:eastAsia="宋体" w:cs="Times New Roman"/>
          <w:color w:val="auto"/>
          <w:sz w:val="28"/>
          <w:szCs w:val="28"/>
          <w:lang w:val="en-US" w:eastAsia="zh-CN"/>
        </w:rPr>
        <w:t>2</w:t>
      </w:r>
      <w:r>
        <w:rPr>
          <w:rFonts w:hint="default" w:ascii="Times New Roman" w:hAnsi="Times New Roman" w:eastAsia="宋体" w:cs="Times New Roman"/>
          <w:color w:val="auto"/>
          <w:sz w:val="28"/>
          <w:szCs w:val="28"/>
        </w:rPr>
        <w:t>名技术专家（名单附后）组成。</w:t>
      </w:r>
    </w:p>
    <w:p>
      <w:pPr>
        <w:tabs>
          <w:tab w:val="left" w:pos="220"/>
        </w:tabs>
        <w:spacing w:line="360" w:lineRule="auto"/>
        <w:ind w:left="233" w:leftChars="111" w:firstLine="604" w:firstLineChars="216"/>
        <w:jc w:val="left"/>
        <w:rPr>
          <w:rFonts w:hint="eastAsia"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r>
        <w:rPr>
          <w:rFonts w:hint="eastAsia" w:cs="Times New Roman"/>
          <w:color w:val="auto"/>
          <w:sz w:val="28"/>
          <w:szCs w:val="28"/>
          <w:lang w:eastAsia="zh-CN"/>
        </w:rPr>
        <w:t>：</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一、工程建设基本情况</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（一）建设地点、规模、主要建设内容</w:t>
      </w:r>
    </w:p>
    <w:p>
      <w:pPr>
        <w:pStyle w:val="3"/>
        <w:numPr>
          <w:ilvl w:val="0"/>
          <w:numId w:val="0"/>
        </w:numPr>
        <w:spacing w:line="360" w:lineRule="auto"/>
        <w:ind w:left="233" w:leftChars="111" w:firstLine="604" w:firstLineChars="216"/>
        <w:rPr>
          <w:rFonts w:hint="default" w:ascii="Times New Roman" w:hAnsi="Times New Roman" w:eastAsia="宋体" w:cs="Times New Roman"/>
          <w:color w:val="auto"/>
          <w:sz w:val="28"/>
          <w:szCs w:val="28"/>
          <w:lang w:val="en-US" w:eastAsia="zh-CN"/>
        </w:rPr>
      </w:pPr>
      <w:r>
        <w:rPr>
          <w:rFonts w:hint="default" w:ascii="Times New Roman" w:hAnsi="Times New Roman" w:eastAsia="宋体" w:cs="Times New Roman"/>
          <w:color w:val="auto"/>
          <w:sz w:val="28"/>
          <w:szCs w:val="28"/>
          <w:lang w:eastAsia="zh-CN"/>
        </w:rPr>
        <w:t>东阿县滕宇钢球有限公司位于山东省聊城市东阿县姜楼镇齐南路北首路西。项目预计总投资114万元，占地面积</w:t>
      </w:r>
      <w:r>
        <w:rPr>
          <w:rFonts w:hint="default" w:ascii="Times New Roman" w:hAnsi="Times New Roman" w:eastAsia="宋体" w:cs="Times New Roman"/>
          <w:color w:val="auto"/>
          <w:sz w:val="28"/>
          <w:szCs w:val="28"/>
          <w:lang w:val="en-US" w:eastAsia="zh-CN"/>
        </w:rPr>
        <w:t>5000</w:t>
      </w:r>
      <w:r>
        <w:rPr>
          <w:rFonts w:hint="default" w:ascii="Times New Roman" w:hAnsi="Times New Roman" w:eastAsia="宋体" w:cs="Times New Roman"/>
          <w:color w:val="auto"/>
          <w:sz w:val="28"/>
          <w:szCs w:val="28"/>
          <w:lang w:eastAsia="zh-CN"/>
        </w:rPr>
        <w:t>m</w:t>
      </w:r>
      <w:r>
        <w:rPr>
          <w:rFonts w:hint="default" w:ascii="Times New Roman" w:hAnsi="Times New Roman" w:eastAsia="宋体" w:cs="Times New Roman"/>
          <w:color w:val="auto"/>
          <w:sz w:val="28"/>
          <w:szCs w:val="28"/>
          <w:vertAlign w:val="superscript"/>
          <w:lang w:eastAsia="zh-CN"/>
        </w:rPr>
        <w:t>2</w:t>
      </w:r>
      <w:r>
        <w:rPr>
          <w:rFonts w:hint="default" w:ascii="Times New Roman" w:hAnsi="Times New Roman" w:eastAsia="宋体" w:cs="Times New Roman"/>
          <w:color w:val="auto"/>
          <w:sz w:val="28"/>
          <w:szCs w:val="28"/>
          <w:lang w:eastAsia="zh-CN"/>
        </w:rPr>
        <w:t>，建设年产400吨钢球项目。由于资金问题，本项目分期建设，本次验收为一期，投资</w:t>
      </w:r>
      <w:r>
        <w:rPr>
          <w:rFonts w:hint="default" w:ascii="Times New Roman" w:hAnsi="Times New Roman" w:eastAsia="宋体" w:cs="Times New Roman"/>
          <w:color w:val="auto"/>
          <w:sz w:val="28"/>
          <w:szCs w:val="28"/>
          <w:lang w:val="en-US" w:eastAsia="zh-CN"/>
        </w:rPr>
        <w:t>60万元，建设一处车间，验收范围为年产200吨钢球及其配套环保设施</w:t>
      </w:r>
      <w:r>
        <w:rPr>
          <w:rFonts w:hint="default" w:ascii="Times New Roman" w:hAnsi="Times New Roman" w:eastAsia="宋体" w:cs="Times New Roman"/>
          <w:color w:val="auto"/>
          <w:sz w:val="28"/>
          <w:szCs w:val="28"/>
          <w:lang w:eastAsia="zh-CN"/>
        </w:rPr>
        <w:t>。</w:t>
      </w:r>
    </w:p>
    <w:p>
      <w:pPr>
        <w:tabs>
          <w:tab w:val="left" w:pos="220"/>
        </w:tabs>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（二）环保审批情况</w:t>
      </w:r>
    </w:p>
    <w:p>
      <w:pPr>
        <w:spacing w:line="360" w:lineRule="auto"/>
        <w:ind w:left="233" w:leftChars="111" w:firstLine="604" w:firstLineChars="216"/>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本项目未批先建，根据东阿县环境保护局责令改正违法行为决定书（东环责改[2019]2-14号）可知环保主管部门已经对企业进行过处罚。2019年5月东阿县滕宇钢球有限公司委托山东斐然环保咨询有限公司编制了《东阿县滕宇钢球有限公司年产400吨钢球项目环境影响报告表》，2019年9月4日东阿县行政审批服务局以东行审环报告表[2019]50号对其进行了审批。2019年9月公司委托山东聊和环保科技有限公司进行本项目的环保验收监测工作，接受委托后山东聊和环保科技有限公司组织有关技术人员进行现场踏勘，依据监测技术规范制定了环保验收监测方案，并于2019年10月19日-20日对该企业进行了验收监测，根据验收监测结果和现场检查情况编制了本项目验收监测报告。</w:t>
      </w:r>
    </w:p>
    <w:p>
      <w:pPr>
        <w:tabs>
          <w:tab w:val="left" w:pos="220"/>
        </w:tabs>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（三）投资情况</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项目</w:t>
      </w:r>
      <w:r>
        <w:rPr>
          <w:rFonts w:hint="eastAsia" w:cs="Times New Roman"/>
          <w:color w:val="auto"/>
          <w:sz w:val="28"/>
          <w:szCs w:val="28"/>
          <w:lang w:eastAsia="zh-CN"/>
        </w:rPr>
        <w:t>一期</w:t>
      </w:r>
      <w:r>
        <w:rPr>
          <w:rFonts w:hint="default" w:ascii="Times New Roman" w:hAnsi="Times New Roman" w:eastAsia="宋体" w:cs="Times New Roman"/>
          <w:color w:val="auto"/>
          <w:sz w:val="28"/>
          <w:szCs w:val="28"/>
        </w:rPr>
        <w:t>实际总投资</w:t>
      </w:r>
      <w:r>
        <w:rPr>
          <w:rFonts w:hint="eastAsia" w:cs="Times New Roman"/>
          <w:color w:val="auto"/>
          <w:sz w:val="28"/>
          <w:szCs w:val="28"/>
          <w:lang w:val="en-US" w:eastAsia="zh-CN"/>
        </w:rPr>
        <w:t>6</w:t>
      </w:r>
      <w:r>
        <w:rPr>
          <w:rFonts w:hint="default" w:ascii="Times New Roman" w:hAnsi="Times New Roman" w:eastAsia="宋体" w:cs="Times New Roman"/>
          <w:color w:val="auto"/>
          <w:sz w:val="28"/>
          <w:szCs w:val="28"/>
          <w:lang w:val="en-US" w:eastAsia="zh-CN"/>
        </w:rPr>
        <w:t>0万</w:t>
      </w:r>
      <w:r>
        <w:rPr>
          <w:rFonts w:hint="default" w:ascii="Times New Roman" w:hAnsi="Times New Roman" w:eastAsia="宋体" w:cs="Times New Roman"/>
          <w:color w:val="auto"/>
          <w:sz w:val="28"/>
          <w:szCs w:val="28"/>
        </w:rPr>
        <w:t>元，其中环保投资</w:t>
      </w:r>
      <w:r>
        <w:rPr>
          <w:rFonts w:hint="eastAsia" w:cs="Times New Roman"/>
          <w:color w:val="auto"/>
          <w:sz w:val="28"/>
          <w:szCs w:val="28"/>
          <w:lang w:val="en-US" w:eastAsia="zh-CN"/>
        </w:rPr>
        <w:t>11.</w:t>
      </w:r>
      <w:r>
        <w:rPr>
          <w:rFonts w:hint="default" w:ascii="Times New Roman" w:hAnsi="Times New Roman" w:eastAsia="宋体" w:cs="Times New Roman"/>
          <w:color w:val="auto"/>
          <w:sz w:val="28"/>
          <w:szCs w:val="28"/>
          <w:lang w:val="en-US" w:eastAsia="zh-CN"/>
        </w:rPr>
        <w:t>5</w:t>
      </w:r>
      <w:r>
        <w:rPr>
          <w:rFonts w:hint="default" w:ascii="Times New Roman" w:hAnsi="Times New Roman" w:eastAsia="宋体" w:cs="Times New Roman"/>
          <w:color w:val="auto"/>
          <w:sz w:val="28"/>
          <w:szCs w:val="28"/>
        </w:rPr>
        <w:t>万元。占总投资</w:t>
      </w:r>
      <w:r>
        <w:rPr>
          <w:rFonts w:hint="eastAsia" w:cs="Times New Roman"/>
          <w:color w:val="auto"/>
          <w:sz w:val="28"/>
          <w:szCs w:val="28"/>
          <w:lang w:val="en-US" w:eastAsia="zh-CN"/>
        </w:rPr>
        <w:t>19.2</w:t>
      </w:r>
      <w:r>
        <w:rPr>
          <w:rFonts w:hint="default" w:ascii="Times New Roman" w:hAnsi="Times New Roman" w:eastAsia="宋体" w:cs="Times New Roman"/>
          <w:color w:val="auto"/>
          <w:sz w:val="28"/>
          <w:szCs w:val="28"/>
        </w:rPr>
        <w:t>％。</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（四）验收范围</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本次验收</w:t>
      </w:r>
      <w:r>
        <w:rPr>
          <w:rFonts w:hint="eastAsia" w:cs="Times New Roman"/>
          <w:color w:val="auto"/>
          <w:sz w:val="28"/>
          <w:szCs w:val="28"/>
          <w:lang w:eastAsia="zh-CN"/>
        </w:rPr>
        <w:t>一期</w:t>
      </w:r>
      <w:r>
        <w:rPr>
          <w:rFonts w:hint="default" w:ascii="Times New Roman" w:hAnsi="Times New Roman" w:eastAsia="宋体" w:cs="Times New Roman"/>
          <w:color w:val="auto"/>
          <w:sz w:val="28"/>
          <w:szCs w:val="28"/>
        </w:rPr>
        <w:t>的范围为</w:t>
      </w:r>
      <w:r>
        <w:rPr>
          <w:rFonts w:hint="eastAsia" w:cs="Times New Roman"/>
          <w:color w:val="auto"/>
          <w:sz w:val="28"/>
          <w:szCs w:val="28"/>
          <w:lang w:val="en-US" w:eastAsia="zh-CN"/>
        </w:rPr>
        <w:t>200吨钢球</w:t>
      </w:r>
      <w:r>
        <w:rPr>
          <w:rFonts w:hint="default" w:ascii="Times New Roman" w:hAnsi="Times New Roman" w:eastAsia="宋体" w:cs="Times New Roman"/>
          <w:color w:val="auto"/>
          <w:sz w:val="28"/>
          <w:szCs w:val="28"/>
          <w:lang w:val="en-US" w:eastAsia="zh-CN"/>
        </w:rPr>
        <w:t>生产设备</w:t>
      </w:r>
      <w:r>
        <w:rPr>
          <w:rFonts w:hint="default" w:ascii="Times New Roman" w:hAnsi="Times New Roman" w:eastAsia="宋体" w:cs="Times New Roman"/>
          <w:color w:val="auto"/>
          <w:sz w:val="28"/>
          <w:szCs w:val="28"/>
        </w:rPr>
        <w:t>及其配套环保设施。</w:t>
      </w:r>
    </w:p>
    <w:p>
      <w:pPr>
        <w:tabs>
          <w:tab w:val="left" w:pos="220"/>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二、工程变更情况</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通过现场调查，对照环评报告及审批意见，</w:t>
      </w:r>
      <w:r>
        <w:rPr>
          <w:rFonts w:hint="default" w:ascii="Times New Roman" w:hAnsi="Times New Roman" w:eastAsia="宋体" w:cs="Times New Roman"/>
          <w:color w:val="auto"/>
          <w:sz w:val="28"/>
          <w:szCs w:val="28"/>
          <w:lang w:eastAsia="zh-CN"/>
        </w:rPr>
        <w:t>生产设备中冷镦机未上，其余设备数量有部分减少，故分期验收，本次验收为一期，未影响综合产能。且除油机为封闭设备，故除油工序无废气产生。</w:t>
      </w:r>
      <w:r>
        <w:rPr>
          <w:rFonts w:hint="default" w:ascii="Times New Roman" w:hAnsi="Times New Roman" w:eastAsia="宋体" w:cs="Times New Roman"/>
          <w:color w:val="auto"/>
          <w:sz w:val="28"/>
          <w:szCs w:val="28"/>
        </w:rPr>
        <w:t>生产性质、生产规模、生产地点、生产工艺及环保设施均无明显变动，故本项目工程无重大变动。</w:t>
      </w:r>
    </w:p>
    <w:p>
      <w:pPr>
        <w:pStyle w:val="9"/>
        <w:numPr>
          <w:ilvl w:val="0"/>
          <w:numId w:val="1"/>
        </w:num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环境保护设施落实情况</w:t>
      </w:r>
    </w:p>
    <w:p>
      <w:pPr>
        <w:pStyle w:val="9"/>
        <w:spacing w:beforeLines="50"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（一）废水污染源及其治理措施</w:t>
      </w:r>
    </w:p>
    <w:p>
      <w:pPr>
        <w:widowControl/>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本项目磨削液及精研液稀释用水只消耗不排放，项目洗球废水经厂内气浮机处理后循环使用，不外排。废水主要为员工的办公生活废水，经化粪池处理后定期清掏，不外排。</w:t>
      </w:r>
    </w:p>
    <w:p>
      <w:pPr>
        <w:widowControl/>
        <w:spacing w:line="360" w:lineRule="auto"/>
        <w:ind w:left="233" w:leftChars="111" w:firstLine="604" w:firstLineChars="216"/>
        <w:jc w:val="left"/>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kern w:val="2"/>
          <w:sz w:val="28"/>
          <w:szCs w:val="28"/>
          <w:lang w:val="en-US" w:eastAsia="zh-CN" w:bidi="ar-SA"/>
        </w:rPr>
        <w:t>（二）废气污染源及其治理措施</w:t>
      </w:r>
    </w:p>
    <w:p>
      <w:p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本项目一期产生的废气主要来自淬火和防锈过程产生的有机废气为VOCs。采用“集气罩+水喷淋+活性炭吸附+多元复合低温等离子”处理后经15米高排气筒排放；未被收集的废气经车间通风后无组织排放。</w:t>
      </w:r>
    </w:p>
    <w:p>
      <w:p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（三）噪声</w:t>
      </w:r>
      <w:bookmarkStart w:id="0" w:name="_GoBack"/>
      <w:bookmarkEnd w:id="0"/>
    </w:p>
    <w:p>
      <w:p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rPr>
      </w:pPr>
      <w:r>
        <w:rPr>
          <w:rFonts w:hint="default" w:ascii="Times New Roman" w:hAnsi="Times New Roman" w:eastAsia="宋体" w:cs="Times New Roman"/>
          <w:snapToGrid w:val="0"/>
          <w:color w:val="auto"/>
          <w:kern w:val="0"/>
          <w:sz w:val="28"/>
          <w:szCs w:val="28"/>
          <w:lang w:val="en-US" w:eastAsia="zh-CN"/>
        </w:rPr>
        <w:t xml:space="preserve">本项目噪声主要为研磨机、光球机等设备运行时产生的噪声。通过基础减振、距离衰减等综合控制等措施，降低对外环境的影响。 </w:t>
      </w:r>
    </w:p>
    <w:p>
      <w:pPr>
        <w:spacing w:line="360" w:lineRule="auto"/>
        <w:ind w:left="233" w:leftChars="111" w:firstLine="604" w:firstLineChars="216"/>
        <w:jc w:val="left"/>
        <w:rPr>
          <w:rFonts w:hint="default" w:ascii="Times New Roman" w:hAnsi="Times New Roman" w:eastAsia="宋体" w:cs="Times New Roman"/>
          <w:color w:val="auto"/>
          <w:sz w:val="28"/>
          <w:szCs w:val="28"/>
          <w:lang w:eastAsia="zh-CN"/>
        </w:rPr>
      </w:pPr>
      <w:r>
        <w:rPr>
          <w:rFonts w:hint="default" w:ascii="Times New Roman" w:hAnsi="Times New Roman" w:eastAsia="宋体" w:cs="Times New Roman"/>
          <w:color w:val="auto"/>
          <w:sz w:val="28"/>
          <w:szCs w:val="28"/>
        </w:rPr>
        <w:t>（四）固体废物</w:t>
      </w:r>
    </w:p>
    <w:p>
      <w:pPr>
        <w:pStyle w:val="9"/>
        <w:numPr>
          <w:ilvl w:val="0"/>
          <w:numId w:val="0"/>
        </w:num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本项目一期产生的固体废物主要为铁渣、生活垃圾、废油渣、气浮油泥、铁泥、废灯管、废活性炭。铁渣收集后外售物资公司综合利用；生活垃圾由环卫部门定期清运。废油渣、气浮油泥、铁泥、废灯管、废活性炭待产生后须委托有资质的单位进行处理。</w:t>
      </w:r>
    </w:p>
    <w:p>
      <w:pPr>
        <w:pStyle w:val="9"/>
        <w:numPr>
          <w:ilvl w:val="0"/>
          <w:numId w:val="0"/>
        </w:numPr>
        <w:spacing w:line="360" w:lineRule="auto"/>
        <w:ind w:left="233" w:leftChars="111" w:firstLine="604" w:firstLineChars="216"/>
        <w:jc w:val="left"/>
        <w:rPr>
          <w:rFonts w:hint="default" w:ascii="Times New Roman" w:hAnsi="Times New Roman" w:eastAsia="宋体" w:cs="Times New Roman"/>
          <w:snapToGrid w:val="0"/>
          <w:color w:val="auto"/>
          <w:kern w:val="0"/>
          <w:sz w:val="28"/>
          <w:szCs w:val="28"/>
          <w:lang w:val="en-US" w:eastAsia="zh-CN" w:bidi="ar-SA"/>
        </w:rPr>
      </w:pPr>
      <w:r>
        <w:rPr>
          <w:rFonts w:hint="default" w:ascii="Times New Roman" w:hAnsi="Times New Roman" w:eastAsia="宋体" w:cs="Times New Roman"/>
          <w:snapToGrid w:val="0"/>
          <w:color w:val="auto"/>
          <w:kern w:val="0"/>
          <w:sz w:val="28"/>
          <w:szCs w:val="28"/>
          <w:lang w:val="en-US" w:eastAsia="zh-CN" w:bidi="ar-SA"/>
        </w:rPr>
        <w:t>四、验收监测结果</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（一）环保设施运行检测结果</w:t>
      </w:r>
    </w:p>
    <w:p>
      <w:pPr>
        <w:widowControl/>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山东聊和环保科技有限公司</w:t>
      </w:r>
      <w:r>
        <w:rPr>
          <w:rFonts w:hint="default" w:ascii="Times New Roman" w:hAnsi="Times New Roman" w:eastAsia="宋体" w:cs="Times New Roman"/>
          <w:color w:val="auto"/>
          <w:sz w:val="28"/>
          <w:szCs w:val="28"/>
        </w:rPr>
        <w:t>出具的</w:t>
      </w:r>
      <w:r>
        <w:rPr>
          <w:rFonts w:hint="default" w:ascii="Times New Roman" w:hAnsi="Times New Roman" w:eastAsia="宋体" w:cs="Times New Roman"/>
          <w:b w:val="0"/>
          <w:bCs w:val="0"/>
          <w:color w:val="auto"/>
          <w:sz w:val="28"/>
          <w:szCs w:val="28"/>
        </w:rPr>
        <w:t>《</w:t>
      </w:r>
      <w:r>
        <w:rPr>
          <w:rFonts w:hint="eastAsia" w:cs="Times New Roman"/>
          <w:b w:val="0"/>
          <w:bCs w:val="0"/>
          <w:color w:val="auto"/>
          <w:sz w:val="28"/>
          <w:szCs w:val="28"/>
          <w:lang w:val="en-US" w:eastAsia="zh-CN"/>
        </w:rPr>
        <w:t>东阿县滕宇钢球有限公司年产400吨钢球项目（一期）</w:t>
      </w:r>
      <w:r>
        <w:rPr>
          <w:rFonts w:hint="default" w:ascii="Times New Roman" w:hAnsi="Times New Roman" w:eastAsia="宋体" w:cs="Times New Roman"/>
          <w:color w:val="auto"/>
          <w:sz w:val="28"/>
          <w:szCs w:val="28"/>
        </w:rPr>
        <w:t>竣工环境保护验收监测报告》监测结果表明：</w:t>
      </w:r>
    </w:p>
    <w:p>
      <w:pPr>
        <w:numPr>
          <w:ilvl w:val="0"/>
          <w:numId w:val="2"/>
        </w:num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eastAsia="zh-CN"/>
        </w:rPr>
        <w:t>废水</w:t>
      </w:r>
    </w:p>
    <w:p>
      <w:pPr>
        <w:spacing w:line="360" w:lineRule="auto"/>
        <w:ind w:left="233" w:leftChars="111" w:firstLine="604" w:firstLineChars="216"/>
        <w:rPr>
          <w:rFonts w:hint="default" w:ascii="Times New Roman" w:hAnsi="Times New Roman" w:eastAsia="宋体" w:cs="Times New Roman"/>
          <w:b w:val="0"/>
          <w:bCs w:val="0"/>
          <w:color w:val="auto"/>
          <w:sz w:val="28"/>
          <w:szCs w:val="28"/>
          <w:lang w:val="en-US" w:eastAsia="zh-CN"/>
        </w:rPr>
      </w:pPr>
      <w:r>
        <w:rPr>
          <w:rFonts w:hint="default" w:ascii="Times New Roman" w:hAnsi="Times New Roman" w:eastAsia="宋体" w:cs="Times New Roman"/>
          <w:color w:val="auto"/>
          <w:sz w:val="28"/>
          <w:szCs w:val="28"/>
          <w:lang w:val="en-US" w:eastAsia="zh-CN"/>
        </w:rPr>
        <w:t>项目生产用水定期补充消耗，循环使用，不外排；产生的生活污水经化粪池处理后由环卫部门定期清掏处理，不外排。</w:t>
      </w:r>
    </w:p>
    <w:p>
      <w:pPr>
        <w:numPr>
          <w:ilvl w:val="0"/>
          <w:numId w:val="3"/>
        </w:num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废气</w:t>
      </w:r>
    </w:p>
    <w:p>
      <w:pPr>
        <w:spacing w:line="360" w:lineRule="auto"/>
        <w:ind w:left="233" w:leftChars="111" w:firstLine="604" w:firstLineChars="216"/>
        <w:rPr>
          <w:rFonts w:hint="default" w:ascii="Times New Roman" w:hAnsi="Times New Roman" w:eastAsia="宋体" w:cs="Times New Roman"/>
          <w:color w:val="auto"/>
          <w:kern w:val="2"/>
          <w:sz w:val="28"/>
          <w:szCs w:val="28"/>
          <w:lang w:val="en-US" w:eastAsia="zh-CN" w:bidi="ar-SA"/>
        </w:rPr>
      </w:pPr>
      <w:r>
        <w:rPr>
          <w:rFonts w:hint="default" w:ascii="Times New Roman" w:hAnsi="Times New Roman" w:eastAsia="宋体" w:cs="Times New Roman"/>
          <w:color w:val="auto"/>
          <w:sz w:val="28"/>
          <w:szCs w:val="28"/>
        </w:rPr>
        <w:t>验</w:t>
      </w:r>
      <w:r>
        <w:rPr>
          <w:rFonts w:hint="default" w:ascii="Times New Roman" w:hAnsi="Times New Roman" w:eastAsia="宋体" w:cs="Times New Roman"/>
          <w:bCs/>
          <w:color w:val="auto"/>
          <w:sz w:val="28"/>
          <w:szCs w:val="28"/>
        </w:rPr>
        <w:t>收监测期间，有组织</w:t>
      </w:r>
      <w:r>
        <w:rPr>
          <w:rFonts w:hint="default" w:ascii="Times New Roman" w:hAnsi="Times New Roman" w:eastAsia="宋体" w:cs="Times New Roman"/>
          <w:bCs/>
          <w:color w:val="auto"/>
          <w:sz w:val="28"/>
          <w:szCs w:val="28"/>
          <w:lang w:val="en-US" w:eastAsia="zh-CN"/>
        </w:rPr>
        <w:t>VOCs</w:t>
      </w:r>
      <w:r>
        <w:rPr>
          <w:rFonts w:hint="default" w:ascii="Times New Roman" w:hAnsi="Times New Roman" w:eastAsia="宋体" w:cs="Times New Roman"/>
          <w:bCs/>
          <w:color w:val="auto"/>
          <w:sz w:val="28"/>
          <w:szCs w:val="28"/>
        </w:rPr>
        <w:t>最高排放浓度</w:t>
      </w:r>
      <w:r>
        <w:rPr>
          <w:rFonts w:hint="default" w:ascii="Times New Roman" w:hAnsi="Times New Roman" w:eastAsia="宋体" w:cs="Times New Roman"/>
          <w:bCs/>
          <w:color w:val="auto"/>
          <w:sz w:val="28"/>
          <w:szCs w:val="28"/>
          <w:lang w:eastAsia="zh-CN"/>
        </w:rPr>
        <w:t>为</w:t>
      </w:r>
      <w:r>
        <w:rPr>
          <w:rFonts w:hint="default" w:ascii="Times New Roman" w:hAnsi="Times New Roman" w:cs="Times New Roman"/>
          <w:bCs/>
          <w:color w:val="auto"/>
          <w:sz w:val="28"/>
          <w:szCs w:val="28"/>
          <w:lang w:val="en-US" w:eastAsia="zh-CN"/>
        </w:rPr>
        <w:t>0.64</w:t>
      </w:r>
      <w:r>
        <w:rPr>
          <w:rFonts w:hint="default" w:ascii="Times New Roman" w:hAnsi="Times New Roman" w:eastAsia="宋体" w:cs="Times New Roman"/>
          <w:bCs/>
          <w:color w:val="auto"/>
          <w:sz w:val="28"/>
          <w:szCs w:val="28"/>
        </w:rPr>
        <w:t>mg/m</w:t>
      </w:r>
      <w:r>
        <w:rPr>
          <w:rFonts w:hint="default" w:ascii="Times New Roman" w:hAnsi="Times New Roman" w:eastAsia="宋体" w:cs="Times New Roman"/>
          <w:bCs/>
          <w:color w:val="auto"/>
          <w:sz w:val="28"/>
          <w:szCs w:val="28"/>
          <w:vertAlign w:val="superscript"/>
        </w:rPr>
        <w:t>3</w:t>
      </w:r>
      <w:r>
        <w:rPr>
          <w:rFonts w:hint="default" w:ascii="Times New Roman" w:hAnsi="Times New Roman" w:eastAsia="宋体" w:cs="Times New Roman"/>
          <w:bCs/>
          <w:color w:val="auto"/>
          <w:sz w:val="28"/>
          <w:szCs w:val="28"/>
        </w:rPr>
        <w:t>，排放速率最高为</w:t>
      </w:r>
      <w:r>
        <w:rPr>
          <w:rFonts w:hint="default" w:ascii="Times New Roman" w:hAnsi="Times New Roman" w:cs="Times New Roman"/>
          <w:b w:val="0"/>
          <w:bCs w:val="0"/>
          <w:color w:val="auto"/>
          <w:sz w:val="28"/>
          <w:szCs w:val="28"/>
          <w:vertAlign w:val="baseline"/>
          <w:lang w:val="en-US" w:eastAsia="zh-CN"/>
        </w:rPr>
        <w:t>3.6</w:t>
      </w:r>
      <w:r>
        <w:rPr>
          <w:rFonts w:hint="default" w:ascii="Times New Roman" w:hAnsi="Times New Roman" w:eastAsia="宋体" w:cs="Times New Roman"/>
          <w:color w:val="auto"/>
          <w:sz w:val="28"/>
          <w:szCs w:val="28"/>
          <w:lang w:val="en-US" w:eastAsia="zh-CN"/>
        </w:rPr>
        <w:t>×10</w:t>
      </w:r>
      <w:r>
        <w:rPr>
          <w:rFonts w:hint="default" w:ascii="Times New Roman" w:hAnsi="Times New Roman" w:eastAsia="宋体" w:cs="Times New Roman"/>
          <w:color w:val="auto"/>
          <w:sz w:val="28"/>
          <w:szCs w:val="28"/>
          <w:vertAlign w:val="superscript"/>
          <w:lang w:val="en-US" w:eastAsia="zh-CN"/>
        </w:rPr>
        <w:t>-</w:t>
      </w:r>
      <w:r>
        <w:rPr>
          <w:rFonts w:hint="default" w:ascii="Times New Roman" w:hAnsi="Times New Roman" w:cs="Times New Roman"/>
          <w:color w:val="auto"/>
          <w:sz w:val="28"/>
          <w:szCs w:val="28"/>
          <w:vertAlign w:val="superscript"/>
          <w:lang w:val="en-US" w:eastAsia="zh-CN"/>
        </w:rPr>
        <w:t>3</w:t>
      </w:r>
      <w:r>
        <w:rPr>
          <w:rFonts w:hint="default" w:ascii="Times New Roman" w:hAnsi="Times New Roman" w:eastAsia="宋体" w:cs="Times New Roman"/>
          <w:bCs/>
          <w:color w:val="auto"/>
          <w:sz w:val="28"/>
          <w:szCs w:val="28"/>
        </w:rPr>
        <w:t>kg/h</w:t>
      </w:r>
      <w:r>
        <w:rPr>
          <w:rFonts w:hint="default" w:ascii="Times New Roman" w:hAnsi="Times New Roman" w:eastAsia="宋体" w:cs="Times New Roman"/>
          <w:bCs/>
          <w:color w:val="auto"/>
          <w:sz w:val="28"/>
          <w:szCs w:val="28"/>
          <w:lang w:eastAsia="zh-CN"/>
        </w:rPr>
        <w:t>，满足</w:t>
      </w:r>
      <w:r>
        <w:rPr>
          <w:rFonts w:hint="default" w:ascii="Times New Roman" w:hAnsi="Times New Roman" w:cs="Times New Roman"/>
          <w:color w:val="auto"/>
          <w:sz w:val="28"/>
          <w:szCs w:val="28"/>
          <w:lang w:eastAsia="zh-CN"/>
        </w:rPr>
        <w:t>《挥发性有机物排放标准 第7部分：其他行业》（DB37/2801.7-2019）表1中Ⅱ时段</w:t>
      </w:r>
      <w:r>
        <w:rPr>
          <w:rFonts w:hint="default" w:ascii="Times New Roman" w:hAnsi="Times New Roman" w:eastAsia="宋体" w:cs="Times New Roman"/>
          <w:color w:val="auto"/>
          <w:sz w:val="28"/>
          <w:szCs w:val="28"/>
          <w:lang w:eastAsia="zh-CN"/>
        </w:rPr>
        <w:t>标准要求。</w:t>
      </w:r>
      <w:r>
        <w:rPr>
          <w:rFonts w:hint="default" w:ascii="Times New Roman" w:hAnsi="Times New Roman" w:eastAsia="宋体" w:cs="Times New Roman"/>
          <w:sz w:val="28"/>
          <w:szCs w:val="28"/>
          <w:lang w:eastAsia="zh-CN"/>
        </w:rPr>
        <w:t>无组织VOCs</w:t>
      </w:r>
      <w:r>
        <w:rPr>
          <w:rFonts w:hint="default" w:ascii="Times New Roman" w:hAnsi="Times New Roman" w:eastAsia="宋体" w:cs="Times New Roman"/>
          <w:bCs/>
          <w:color w:val="000000"/>
          <w:sz w:val="28"/>
          <w:szCs w:val="28"/>
        </w:rPr>
        <w:t>小时浓度最高</w:t>
      </w:r>
      <w:r>
        <w:rPr>
          <w:rFonts w:hint="default" w:ascii="Times New Roman" w:hAnsi="Times New Roman" w:eastAsia="宋体" w:cs="Times New Roman"/>
          <w:bCs/>
          <w:color w:val="000000"/>
          <w:sz w:val="28"/>
          <w:szCs w:val="28"/>
          <w:lang w:eastAsia="zh-CN"/>
        </w:rPr>
        <w:t>为</w:t>
      </w:r>
      <w:r>
        <w:rPr>
          <w:rFonts w:hint="default" w:ascii="Times New Roman" w:hAnsi="Times New Roman" w:cs="Times New Roman"/>
          <w:b w:val="0"/>
          <w:bCs w:val="0"/>
          <w:sz w:val="28"/>
          <w:szCs w:val="28"/>
          <w:vertAlign w:val="baseline"/>
          <w:lang w:val="en-US" w:eastAsia="zh-CN"/>
        </w:rPr>
        <w:t>0.23m</w:t>
      </w:r>
      <w:r>
        <w:rPr>
          <w:rFonts w:hint="default" w:ascii="Times New Roman" w:hAnsi="Times New Roman" w:eastAsia="宋体" w:cs="Times New Roman"/>
          <w:bCs/>
          <w:color w:val="000000"/>
          <w:sz w:val="28"/>
          <w:szCs w:val="28"/>
        </w:rPr>
        <w:t>g/m</w:t>
      </w:r>
      <w:r>
        <w:rPr>
          <w:rFonts w:hint="default" w:ascii="Times New Roman" w:hAnsi="Times New Roman" w:eastAsia="宋体" w:cs="Times New Roman"/>
          <w:bCs/>
          <w:color w:val="000000"/>
          <w:sz w:val="28"/>
          <w:szCs w:val="28"/>
          <w:vertAlign w:val="superscript"/>
        </w:rPr>
        <w:t>3</w:t>
      </w:r>
      <w:r>
        <w:rPr>
          <w:rFonts w:hint="default" w:ascii="Times New Roman" w:hAnsi="Times New Roman" w:eastAsia="宋体" w:cs="Times New Roman"/>
          <w:bCs/>
          <w:color w:val="000000"/>
          <w:sz w:val="28"/>
          <w:szCs w:val="28"/>
        </w:rPr>
        <w:t>，</w:t>
      </w:r>
      <w:r>
        <w:rPr>
          <w:rFonts w:hint="default" w:ascii="Times New Roman" w:hAnsi="Times New Roman" w:eastAsia="宋体" w:cs="Times New Roman"/>
          <w:sz w:val="28"/>
          <w:szCs w:val="28"/>
          <w:lang w:eastAsia="zh-CN"/>
        </w:rPr>
        <w:t>满足</w:t>
      </w:r>
      <w:r>
        <w:rPr>
          <w:rFonts w:hint="default" w:ascii="Times New Roman" w:hAnsi="Times New Roman" w:cs="Times New Roman"/>
          <w:sz w:val="28"/>
          <w:szCs w:val="28"/>
          <w:lang w:eastAsia="zh-CN"/>
        </w:rPr>
        <w:t>《挥发性有机物排放标准 第7部分：其他行业》表2中厂界监控点浓度限值。</w:t>
      </w:r>
      <w:r>
        <w:rPr>
          <w:rFonts w:hint="default" w:ascii="Times New Roman" w:hAnsi="Times New Roman" w:cs="Times New Roman"/>
          <w:color w:val="auto"/>
          <w:sz w:val="28"/>
          <w:szCs w:val="28"/>
          <w:lang w:eastAsia="zh-CN"/>
        </w:rPr>
        <w:t>总量控制：</w:t>
      </w:r>
      <w:r>
        <w:rPr>
          <w:rFonts w:hint="default" w:ascii="Times New Roman" w:hAnsi="Times New Roman" w:eastAsia="宋体" w:cs="Times New Roman"/>
          <w:sz w:val="28"/>
          <w:szCs w:val="28"/>
          <w:lang w:val="en-US" w:eastAsia="zh-CN"/>
        </w:rPr>
        <w:t>本项目折满负荷</w:t>
      </w:r>
      <w:r>
        <w:rPr>
          <w:rFonts w:hint="default" w:ascii="Times New Roman" w:hAnsi="Times New Roman" w:eastAsia="宋体" w:cs="Times New Roman"/>
          <w:bCs/>
          <w:color w:val="auto"/>
          <w:sz w:val="28"/>
          <w:szCs w:val="28"/>
          <w:lang w:val="en-US" w:eastAsia="zh-CN"/>
        </w:rPr>
        <w:t>VOCs</w:t>
      </w:r>
      <w:r>
        <w:rPr>
          <w:rFonts w:hint="default" w:ascii="Times New Roman" w:hAnsi="Times New Roman" w:eastAsia="宋体" w:cs="Times New Roman"/>
          <w:sz w:val="28"/>
          <w:szCs w:val="28"/>
          <w:lang w:val="en-US" w:eastAsia="zh-CN"/>
        </w:rPr>
        <w:t>排放总量</w:t>
      </w:r>
      <w:r>
        <w:rPr>
          <w:rFonts w:hint="eastAsia" w:ascii="Times New Roman" w:hAnsi="Times New Roman" w:cs="Times New Roman"/>
          <w:sz w:val="28"/>
          <w:szCs w:val="28"/>
          <w:lang w:val="en-US" w:eastAsia="zh-CN"/>
        </w:rPr>
        <w:t>为</w:t>
      </w:r>
      <w:r>
        <w:rPr>
          <w:rFonts w:hint="default" w:ascii="Times New Roman" w:hAnsi="Times New Roman" w:cs="Times New Roman"/>
          <w:sz w:val="28"/>
          <w:szCs w:val="28"/>
          <w:lang w:val="en-US" w:eastAsia="zh-CN"/>
        </w:rPr>
        <w:t>0.00864</w:t>
      </w:r>
      <w:r>
        <w:rPr>
          <w:rFonts w:hint="default" w:ascii="Times New Roman" w:hAnsi="Times New Roman" w:eastAsia="宋体" w:cs="Times New Roman"/>
          <w:sz w:val="28"/>
          <w:szCs w:val="28"/>
          <w:lang w:val="en-US" w:eastAsia="zh-CN"/>
        </w:rPr>
        <w:t>t/a</w:t>
      </w:r>
      <w:r>
        <w:rPr>
          <w:rFonts w:hint="default" w:ascii="Times New Roman" w:hAnsi="Times New Roman" w:eastAsia="宋体" w:cs="Times New Roman"/>
          <w:color w:val="auto"/>
          <w:sz w:val="28"/>
          <w:szCs w:val="28"/>
          <w:lang w:val="en-US" w:eastAsia="zh-CN"/>
        </w:rPr>
        <w:t>，满足</w:t>
      </w:r>
      <w:r>
        <w:rPr>
          <w:rFonts w:hint="default" w:ascii="Times New Roman" w:hAnsi="Times New Roman" w:cs="Times New Roman"/>
          <w:color w:val="auto"/>
          <w:sz w:val="28"/>
          <w:szCs w:val="28"/>
          <w:lang w:val="en-US" w:eastAsia="zh-CN"/>
        </w:rPr>
        <w:t>聊城市生态环境局东阿县分局审核的</w:t>
      </w:r>
      <w:r>
        <w:rPr>
          <w:rFonts w:hint="default" w:ascii="Times New Roman" w:hAnsi="Times New Roman" w:eastAsia="宋体" w:cs="Times New Roman"/>
          <w:color w:val="auto"/>
          <w:sz w:val="28"/>
          <w:szCs w:val="28"/>
          <w:lang w:val="en-US" w:eastAsia="zh-CN"/>
        </w:rPr>
        <w:t>总量指标</w:t>
      </w:r>
      <w:r>
        <w:rPr>
          <w:rFonts w:hint="default" w:ascii="Times New Roman" w:hAnsi="Times New Roman" w:eastAsia="宋体" w:cs="Times New Roman"/>
          <w:bCs/>
          <w:color w:val="auto"/>
          <w:sz w:val="28"/>
          <w:szCs w:val="28"/>
          <w:lang w:val="en-US" w:eastAsia="zh-CN"/>
        </w:rPr>
        <w:t>VOCs</w:t>
      </w:r>
      <w:r>
        <w:rPr>
          <w:rFonts w:hint="default" w:ascii="Times New Roman" w:hAnsi="Times New Roman" w:eastAsia="宋体" w:cs="Times New Roman"/>
          <w:color w:val="auto"/>
          <w:sz w:val="28"/>
          <w:szCs w:val="28"/>
          <w:vertAlign w:val="subscript"/>
          <w:lang w:val="en-US" w:eastAsia="zh-CN"/>
        </w:rPr>
        <w:t xml:space="preserve"> </w:t>
      </w:r>
      <w:r>
        <w:rPr>
          <w:rFonts w:hint="default" w:ascii="Times New Roman" w:hAnsi="Times New Roman" w:eastAsia="宋体" w:cs="Times New Roman"/>
          <w:color w:val="auto"/>
          <w:sz w:val="28"/>
          <w:szCs w:val="28"/>
          <w:lang w:val="en-US" w:eastAsia="zh-CN"/>
        </w:rPr>
        <w:t>0.</w:t>
      </w:r>
      <w:r>
        <w:rPr>
          <w:rFonts w:hint="default" w:ascii="Times New Roman" w:hAnsi="Times New Roman" w:cs="Times New Roman"/>
          <w:color w:val="auto"/>
          <w:sz w:val="28"/>
          <w:szCs w:val="28"/>
          <w:lang w:val="en-US" w:eastAsia="zh-CN"/>
        </w:rPr>
        <w:t>205</w:t>
      </w:r>
      <w:r>
        <w:rPr>
          <w:rFonts w:hint="default" w:ascii="Times New Roman" w:hAnsi="Times New Roman" w:eastAsia="宋体" w:cs="Times New Roman"/>
          <w:color w:val="auto"/>
          <w:sz w:val="28"/>
          <w:szCs w:val="28"/>
        </w:rPr>
        <w:t>t/a</w:t>
      </w:r>
      <w:r>
        <w:rPr>
          <w:rFonts w:hint="default" w:ascii="Times New Roman" w:hAnsi="Times New Roman" w:eastAsia="宋体" w:cs="Times New Roman"/>
          <w:color w:val="auto"/>
          <w:sz w:val="28"/>
          <w:szCs w:val="28"/>
          <w:lang w:val="en-US" w:eastAsia="zh-CN"/>
        </w:rPr>
        <w:t>。</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3</w:t>
      </w:r>
      <w:r>
        <w:rPr>
          <w:rFonts w:hint="default" w:ascii="Times New Roman" w:hAnsi="Times New Roman" w:eastAsia="宋体" w:cs="Times New Roman"/>
          <w:color w:val="auto"/>
          <w:sz w:val="28"/>
          <w:szCs w:val="28"/>
        </w:rPr>
        <w:t>. 噪声</w:t>
      </w:r>
    </w:p>
    <w:p>
      <w:pPr>
        <w:spacing w:line="360" w:lineRule="auto"/>
        <w:ind w:left="216" w:leftChars="103" w:firstLine="560" w:firstLineChars="200"/>
        <w:rPr>
          <w:rFonts w:hint="default" w:ascii="Times New Roman" w:hAnsi="Times New Roman" w:eastAsia="宋体" w:cs="Times New Roman"/>
          <w:color w:val="000000"/>
          <w:kern w:val="2"/>
          <w:sz w:val="28"/>
          <w:szCs w:val="28"/>
          <w:lang w:val="en-US" w:eastAsia="zh-CN" w:bidi="ar-SA"/>
        </w:rPr>
      </w:pPr>
      <w:r>
        <w:rPr>
          <w:rFonts w:hint="default" w:ascii="Times New Roman" w:hAnsi="Times New Roman" w:eastAsia="宋体" w:cs="Times New Roman"/>
          <w:color w:val="000000"/>
          <w:kern w:val="2"/>
          <w:sz w:val="28"/>
          <w:szCs w:val="28"/>
          <w:lang w:val="en-US" w:eastAsia="zh-CN" w:bidi="ar-SA"/>
        </w:rPr>
        <w:t>验收监测期间，2#、3#监测点位昼间噪声在56.0-57.6(dB)之间，1#监测点位昼间噪声在60.2-61.1(dB)之间，夜间不生产，均符合《工业企业厂界环境噪声排放标准》（GB12348－2008）中的2类及4类标准限值。</w:t>
      </w:r>
    </w:p>
    <w:p>
      <w:pPr>
        <w:numPr>
          <w:ilvl w:val="0"/>
          <w:numId w:val="4"/>
        </w:numPr>
        <w:spacing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固体废物</w:t>
      </w:r>
    </w:p>
    <w:p>
      <w:pPr>
        <w:spacing w:line="360" w:lineRule="auto"/>
        <w:ind w:left="233" w:leftChars="111" w:firstLine="604" w:firstLineChars="216"/>
        <w:rPr>
          <w:rFonts w:hint="default" w:ascii="Times New Roman" w:hAnsi="Times New Roman" w:eastAsia="宋体" w:cs="Times New Roman"/>
          <w:color w:val="auto"/>
          <w:sz w:val="28"/>
          <w:szCs w:val="28"/>
        </w:rPr>
      </w:pPr>
      <w:r>
        <w:rPr>
          <w:rFonts w:hint="eastAsia" w:cs="Times New Roman"/>
          <w:color w:val="auto"/>
          <w:sz w:val="28"/>
          <w:szCs w:val="28"/>
          <w:lang w:val="zh-CN" w:eastAsia="zh-CN"/>
        </w:rPr>
        <w:t>详见上文三、（四）</w:t>
      </w:r>
      <w:r>
        <w:rPr>
          <w:rFonts w:hint="default" w:ascii="Times New Roman" w:hAnsi="Times New Roman" w:eastAsia="宋体" w:cs="Times New Roman"/>
          <w:color w:val="auto"/>
          <w:sz w:val="28"/>
          <w:szCs w:val="28"/>
        </w:rPr>
        <w:t>。</w:t>
      </w:r>
    </w:p>
    <w:p>
      <w:pPr>
        <w:spacing w:beforeLines="50"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（二）环境管理调查</w:t>
      </w:r>
    </w:p>
    <w:p>
      <w:pPr>
        <w:spacing w:line="360" w:lineRule="auto"/>
        <w:ind w:left="233" w:leftChars="111" w:firstLine="604" w:firstLineChars="216"/>
        <w:rPr>
          <w:rFonts w:hint="default" w:ascii="Times New Roman" w:hAnsi="Times New Roman" w:eastAsia="宋体" w:cs="Times New Roman"/>
          <w:color w:val="auto"/>
          <w:sz w:val="28"/>
          <w:szCs w:val="28"/>
        </w:rPr>
      </w:pPr>
      <w:r>
        <w:rPr>
          <w:rFonts w:hint="eastAsia" w:cs="Times New Roman"/>
          <w:color w:val="auto"/>
          <w:sz w:val="28"/>
          <w:szCs w:val="28"/>
          <w:lang w:eastAsia="zh-CN"/>
        </w:rPr>
        <w:t>东阿县滕宇钢球有限公司</w:t>
      </w:r>
      <w:r>
        <w:rPr>
          <w:rFonts w:hint="default" w:ascii="Times New Roman" w:hAnsi="Times New Roman" w:eastAsia="宋体" w:cs="Times New Roman"/>
          <w:color w:val="auto"/>
          <w:sz w:val="28"/>
          <w:szCs w:val="28"/>
        </w:rPr>
        <w:t>制定了《</w:t>
      </w:r>
      <w:r>
        <w:rPr>
          <w:rFonts w:hint="eastAsia" w:cs="Times New Roman"/>
          <w:color w:val="auto"/>
          <w:sz w:val="28"/>
          <w:szCs w:val="28"/>
          <w:lang w:eastAsia="zh-CN"/>
        </w:rPr>
        <w:t>东阿县滕宇钢球有限公司</w:t>
      </w:r>
      <w:r>
        <w:rPr>
          <w:rFonts w:hint="default" w:ascii="Times New Roman" w:hAnsi="Times New Roman" w:eastAsia="宋体" w:cs="Times New Roman"/>
          <w:color w:val="auto"/>
          <w:sz w:val="28"/>
          <w:szCs w:val="28"/>
        </w:rPr>
        <w:t>环保管理制度》</w:t>
      </w:r>
      <w:r>
        <w:rPr>
          <w:rFonts w:hint="default" w:ascii="Times New Roman" w:hAnsi="Times New Roman" w:eastAsia="宋体" w:cs="Times New Roman"/>
          <w:color w:val="auto"/>
          <w:sz w:val="28"/>
          <w:szCs w:val="28"/>
          <w:lang w:eastAsia="zh-CN"/>
        </w:rPr>
        <w:t>，</w:t>
      </w:r>
      <w:r>
        <w:rPr>
          <w:rFonts w:hint="default" w:ascii="Times New Roman" w:hAnsi="Times New Roman" w:eastAsia="宋体" w:cs="Times New Roman"/>
          <w:color w:val="auto"/>
          <w:sz w:val="28"/>
          <w:szCs w:val="28"/>
        </w:rPr>
        <w:t>并设立了相关机构。日常工作由</w:t>
      </w:r>
      <w:r>
        <w:rPr>
          <w:rFonts w:hint="eastAsia" w:ascii="Times New Roman" w:hAnsi="Times New Roman" w:eastAsia="宋体" w:cs="Times New Roman"/>
          <w:color w:val="auto"/>
          <w:sz w:val="28"/>
          <w:szCs w:val="28"/>
          <w:lang w:eastAsia="zh-CN"/>
        </w:rPr>
        <w:t>办公室</w:t>
      </w:r>
      <w:r>
        <w:rPr>
          <w:rFonts w:hint="default" w:ascii="Times New Roman" w:hAnsi="Times New Roman" w:eastAsia="宋体" w:cs="Times New Roman"/>
          <w:color w:val="auto"/>
          <w:sz w:val="28"/>
          <w:szCs w:val="28"/>
        </w:rPr>
        <w:t>管理，其主要职责是：行使公司环保工作的计划、组织、指挥、协调、检查和考核管理职能，日常一切工作须对公司负责。</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五、专家意见：</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在今后企业环保工作中，建议企业落实以下要求。</w:t>
      </w:r>
    </w:p>
    <w:p>
      <w:pPr>
        <w:pStyle w:val="5"/>
        <w:numPr>
          <w:ilvl w:val="0"/>
          <w:numId w:val="5"/>
        </w:numPr>
        <w:spacing w:line="360" w:lineRule="auto"/>
        <w:ind w:left="233" w:leftChars="111" w:firstLine="604" w:firstLineChars="216"/>
        <w:rPr>
          <w:rFonts w:hint="eastAsia"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煤油清洗所在场所进一步密闭</w:t>
      </w:r>
      <w:r>
        <w:rPr>
          <w:rFonts w:hint="eastAsia" w:ascii="Times New Roman" w:hAnsi="Times New Roman" w:cs="Times New Roman"/>
          <w:color w:val="auto"/>
          <w:sz w:val="28"/>
          <w:szCs w:val="28"/>
          <w:lang w:val="en-US" w:eastAsia="zh-CN"/>
        </w:rPr>
        <w:t>；</w:t>
      </w:r>
    </w:p>
    <w:p>
      <w:pPr>
        <w:pStyle w:val="5"/>
        <w:numPr>
          <w:ilvl w:val="0"/>
          <w:numId w:val="5"/>
        </w:numPr>
        <w:spacing w:line="360" w:lineRule="auto"/>
        <w:ind w:left="233" w:leftChars="111" w:firstLine="604" w:firstLineChars="216"/>
        <w:rPr>
          <w:rFonts w:hint="eastAsia"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设备周围地面油污注意清洁</w:t>
      </w:r>
      <w:r>
        <w:rPr>
          <w:rFonts w:hint="eastAsia" w:ascii="Times New Roman" w:hAnsi="Times New Roman" w:cs="Times New Roman"/>
          <w:color w:val="auto"/>
          <w:sz w:val="28"/>
          <w:szCs w:val="28"/>
          <w:lang w:val="en-US" w:eastAsia="zh-CN"/>
        </w:rPr>
        <w:t>；</w:t>
      </w:r>
    </w:p>
    <w:p>
      <w:pPr>
        <w:pStyle w:val="5"/>
        <w:numPr>
          <w:ilvl w:val="0"/>
          <w:numId w:val="5"/>
        </w:numPr>
        <w:spacing w:line="360" w:lineRule="auto"/>
        <w:ind w:left="233" w:leftChars="111" w:firstLine="604" w:firstLineChars="216"/>
        <w:rPr>
          <w:rFonts w:hint="eastAsia"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危废</w:t>
      </w:r>
      <w:r>
        <w:rPr>
          <w:rFonts w:hint="eastAsia" w:ascii="Times New Roman" w:hAnsi="Times New Roman" w:cs="Times New Roman"/>
          <w:color w:val="auto"/>
          <w:sz w:val="28"/>
          <w:szCs w:val="28"/>
          <w:lang w:val="en-US" w:eastAsia="zh-CN"/>
        </w:rPr>
        <w:t>暂存间</w:t>
      </w:r>
      <w:r>
        <w:rPr>
          <w:rFonts w:hint="eastAsia" w:ascii="Times New Roman" w:hAnsi="Times New Roman" w:eastAsia="宋体" w:cs="Times New Roman"/>
          <w:color w:val="auto"/>
          <w:sz w:val="28"/>
          <w:szCs w:val="28"/>
          <w:lang w:val="en-US" w:eastAsia="zh-CN"/>
        </w:rPr>
        <w:t>窗户存在破损，</w:t>
      </w:r>
      <w:r>
        <w:rPr>
          <w:rFonts w:hint="eastAsia" w:ascii="Times New Roman" w:hAnsi="Times New Roman" w:cs="Times New Roman"/>
          <w:color w:val="auto"/>
          <w:sz w:val="28"/>
          <w:szCs w:val="28"/>
          <w:lang w:val="en-US" w:eastAsia="zh-CN"/>
        </w:rPr>
        <w:t>须</w:t>
      </w:r>
      <w:r>
        <w:rPr>
          <w:rFonts w:hint="eastAsia" w:ascii="Times New Roman" w:hAnsi="Times New Roman" w:eastAsia="宋体" w:cs="Times New Roman"/>
          <w:color w:val="auto"/>
          <w:sz w:val="28"/>
          <w:szCs w:val="28"/>
          <w:lang w:val="en-US" w:eastAsia="zh-CN"/>
        </w:rPr>
        <w:t>及时修复；危废分类存放并完善台帐</w:t>
      </w:r>
      <w:r>
        <w:rPr>
          <w:rFonts w:hint="eastAsia" w:ascii="Times New Roman" w:hAnsi="Times New Roman" w:cs="Times New Roman"/>
          <w:color w:val="auto"/>
          <w:sz w:val="28"/>
          <w:szCs w:val="28"/>
          <w:lang w:val="en-US" w:eastAsia="zh-CN"/>
        </w:rPr>
        <w:t>；</w:t>
      </w:r>
    </w:p>
    <w:p>
      <w:pPr>
        <w:pStyle w:val="5"/>
        <w:numPr>
          <w:ilvl w:val="0"/>
          <w:numId w:val="5"/>
        </w:numPr>
        <w:spacing w:line="360" w:lineRule="auto"/>
        <w:ind w:left="233" w:leftChars="111" w:firstLine="604" w:firstLineChars="216"/>
        <w:rPr>
          <w:rFonts w:hint="default" w:ascii="Times New Roman" w:hAnsi="Times New Roman" w:eastAsia="宋体" w:cs="Times New Roman"/>
          <w:color w:val="auto"/>
          <w:sz w:val="28"/>
          <w:szCs w:val="28"/>
          <w:lang w:val="en-US" w:eastAsia="zh-CN"/>
        </w:rPr>
      </w:pPr>
      <w:r>
        <w:rPr>
          <w:rFonts w:hint="eastAsia" w:ascii="Times New Roman" w:hAnsi="Times New Roman" w:eastAsia="宋体" w:cs="Times New Roman"/>
          <w:color w:val="auto"/>
          <w:sz w:val="28"/>
          <w:szCs w:val="28"/>
          <w:lang w:val="en-US" w:eastAsia="zh-CN"/>
        </w:rPr>
        <w:t>设置排气筒标识，采样平台设脚踢板。</w:t>
      </w:r>
    </w:p>
    <w:p>
      <w:pPr>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lang w:val="en-US" w:eastAsia="zh-CN"/>
        </w:rPr>
        <w:t>六、</w:t>
      </w:r>
      <w:r>
        <w:rPr>
          <w:rFonts w:hint="default" w:ascii="Times New Roman" w:hAnsi="Times New Roman" w:eastAsia="宋体" w:cs="Times New Roman"/>
          <w:color w:val="auto"/>
          <w:sz w:val="28"/>
          <w:szCs w:val="28"/>
        </w:rPr>
        <w:t>验收结论</w:t>
      </w:r>
    </w:p>
    <w:p>
      <w:pPr>
        <w:spacing w:line="360" w:lineRule="auto"/>
        <w:ind w:left="233" w:leftChars="111" w:firstLine="604" w:firstLineChars="216"/>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tabs>
          <w:tab w:val="left" w:pos="5955"/>
          <w:tab w:val="left" w:pos="6095"/>
        </w:tabs>
        <w:spacing w:line="360" w:lineRule="auto"/>
        <w:ind w:left="233" w:leftChars="111" w:firstLine="604" w:firstLineChars="216"/>
        <w:jc w:val="lef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鉴于项目符合国家和地方相关产业标准及准入要求，用地符合当地规划，环保设施与生产配套，验收期间各项监测指标满足国家相关排放标准，该项目通过环保验收。</w:t>
      </w:r>
    </w:p>
    <w:p>
      <w:pPr>
        <w:spacing w:line="360" w:lineRule="auto"/>
        <w:ind w:left="233" w:leftChars="111" w:firstLine="604" w:firstLineChars="216"/>
        <w:jc w:val="right"/>
        <w:rPr>
          <w:rFonts w:hint="default" w:ascii="Times New Roman" w:hAnsi="Times New Roman" w:eastAsia="宋体" w:cs="Times New Roman"/>
          <w:color w:val="auto"/>
          <w:sz w:val="28"/>
          <w:szCs w:val="28"/>
        </w:rPr>
      </w:pPr>
      <w:r>
        <w:rPr>
          <w:rFonts w:hint="default" w:ascii="Times New Roman" w:hAnsi="Times New Roman" w:eastAsia="宋体" w:cs="Times New Roman"/>
          <w:color w:val="auto"/>
          <w:sz w:val="28"/>
          <w:szCs w:val="28"/>
        </w:rPr>
        <w:t xml:space="preserve">                   </w:t>
      </w:r>
    </w:p>
    <w:p>
      <w:pPr>
        <w:spacing w:line="360" w:lineRule="auto"/>
        <w:ind w:left="233" w:leftChars="111" w:firstLine="604" w:firstLineChars="216"/>
        <w:jc w:val="right"/>
        <w:rPr>
          <w:rFonts w:hint="default" w:ascii="Times New Roman" w:hAnsi="Times New Roman" w:eastAsia="宋体" w:cs="Times New Roman"/>
          <w:color w:val="auto"/>
          <w:sz w:val="28"/>
          <w:szCs w:val="28"/>
        </w:rPr>
      </w:pPr>
    </w:p>
    <w:p>
      <w:pPr>
        <w:spacing w:line="360" w:lineRule="auto"/>
        <w:ind w:left="233" w:leftChars="111" w:firstLine="604" w:firstLineChars="216"/>
        <w:jc w:val="right"/>
        <w:rPr>
          <w:rFonts w:hint="default" w:ascii="Times New Roman" w:hAnsi="Times New Roman" w:eastAsia="宋体" w:cs="Times New Roman"/>
          <w:color w:val="auto"/>
          <w:sz w:val="28"/>
          <w:szCs w:val="28"/>
        </w:rPr>
      </w:pPr>
    </w:p>
    <w:p>
      <w:pPr>
        <w:spacing w:line="360" w:lineRule="auto"/>
        <w:ind w:left="233" w:leftChars="111" w:firstLine="604" w:firstLineChars="216"/>
        <w:jc w:val="right"/>
        <w:rPr>
          <w:rFonts w:hint="default" w:ascii="Times New Roman" w:hAnsi="Times New Roman" w:eastAsia="宋体" w:cs="Times New Roman"/>
          <w:color w:val="auto"/>
          <w:sz w:val="28"/>
          <w:szCs w:val="28"/>
        </w:rPr>
      </w:pPr>
      <w:r>
        <w:rPr>
          <w:rFonts w:hint="eastAsia" w:cs="Times New Roman"/>
          <w:color w:val="auto"/>
          <w:sz w:val="28"/>
          <w:szCs w:val="28"/>
          <w:lang w:eastAsia="zh-CN"/>
        </w:rPr>
        <w:t>东阿县滕宇钢球有限公司</w:t>
      </w:r>
      <w:r>
        <w:rPr>
          <w:rFonts w:hint="default" w:ascii="Times New Roman" w:hAnsi="Times New Roman" w:eastAsia="宋体" w:cs="Times New Roman"/>
          <w:color w:val="auto"/>
          <w:sz w:val="28"/>
          <w:szCs w:val="28"/>
        </w:rPr>
        <w:t>验收组</w:t>
      </w:r>
    </w:p>
    <w:p>
      <w:pPr>
        <w:spacing w:line="360" w:lineRule="auto"/>
        <w:ind w:left="233" w:leftChars="111" w:firstLine="604" w:firstLineChars="216"/>
        <w:jc w:val="right"/>
        <w:rPr>
          <w:rFonts w:hint="default" w:ascii="Times New Roman" w:hAnsi="Times New Roman" w:eastAsia="宋体" w:cs="Times New Roman"/>
          <w:color w:val="auto"/>
          <w:sz w:val="28"/>
          <w:szCs w:val="28"/>
          <w:highlight w:val="none"/>
          <w:lang w:eastAsia="zh-CN"/>
        </w:rPr>
      </w:pPr>
      <w:r>
        <w:rPr>
          <w:rFonts w:hint="default" w:ascii="Times New Roman" w:hAnsi="Times New Roman" w:eastAsia="宋体" w:cs="Times New Roman"/>
          <w:color w:val="auto"/>
          <w:sz w:val="28"/>
          <w:szCs w:val="28"/>
        </w:rPr>
        <w:t xml:space="preserve">          </w:t>
      </w:r>
      <w:r>
        <w:rPr>
          <w:rFonts w:hint="default" w:ascii="Times New Roman" w:hAnsi="Times New Roman" w:eastAsia="宋体" w:cs="Times New Roman"/>
          <w:color w:val="auto"/>
          <w:sz w:val="28"/>
          <w:szCs w:val="28"/>
          <w:highlight w:val="none"/>
        </w:rPr>
        <w:t xml:space="preserve">                      201</w:t>
      </w:r>
      <w:r>
        <w:rPr>
          <w:rFonts w:hint="default" w:ascii="Times New Roman" w:hAnsi="Times New Roman" w:eastAsia="宋体" w:cs="Times New Roman"/>
          <w:color w:val="auto"/>
          <w:sz w:val="28"/>
          <w:szCs w:val="28"/>
          <w:highlight w:val="none"/>
          <w:lang w:val="en-US" w:eastAsia="zh-CN"/>
        </w:rPr>
        <w:t>9</w:t>
      </w:r>
      <w:r>
        <w:rPr>
          <w:rFonts w:hint="default" w:ascii="Times New Roman" w:hAnsi="Times New Roman" w:eastAsia="宋体" w:cs="Times New Roman"/>
          <w:color w:val="auto"/>
          <w:sz w:val="28"/>
          <w:szCs w:val="28"/>
          <w:highlight w:val="none"/>
        </w:rPr>
        <w:t>年</w:t>
      </w:r>
      <w:r>
        <w:rPr>
          <w:rFonts w:hint="eastAsia" w:ascii="Times New Roman" w:hAnsi="Times New Roman" w:eastAsia="宋体" w:cs="Times New Roman"/>
          <w:color w:val="auto"/>
          <w:sz w:val="28"/>
          <w:szCs w:val="28"/>
          <w:highlight w:val="none"/>
          <w:lang w:val="en-US" w:eastAsia="zh-CN"/>
        </w:rPr>
        <w:t>1</w:t>
      </w:r>
      <w:r>
        <w:rPr>
          <w:rFonts w:hint="eastAsia" w:cs="Times New Roman"/>
          <w:color w:val="auto"/>
          <w:sz w:val="28"/>
          <w:szCs w:val="28"/>
          <w:highlight w:val="none"/>
          <w:lang w:val="en-US" w:eastAsia="zh-CN"/>
        </w:rPr>
        <w:t>1</w:t>
      </w:r>
      <w:r>
        <w:rPr>
          <w:rFonts w:hint="default" w:ascii="Times New Roman" w:hAnsi="Times New Roman" w:eastAsia="宋体" w:cs="Times New Roman"/>
          <w:color w:val="auto"/>
          <w:sz w:val="28"/>
          <w:szCs w:val="28"/>
          <w:highlight w:val="none"/>
        </w:rPr>
        <w:t>月</w:t>
      </w:r>
      <w:r>
        <w:rPr>
          <w:rFonts w:hint="eastAsia" w:ascii="Times New Roman" w:hAnsi="Times New Roman" w:eastAsia="宋体" w:cs="Times New Roman"/>
          <w:color w:val="auto"/>
          <w:sz w:val="28"/>
          <w:szCs w:val="28"/>
          <w:highlight w:val="none"/>
          <w:lang w:val="en-US" w:eastAsia="zh-CN"/>
        </w:rPr>
        <w:t>11</w:t>
      </w:r>
      <w:r>
        <w:rPr>
          <w:rFonts w:hint="default" w:ascii="Times New Roman" w:hAnsi="Times New Roman" w:eastAsia="宋体" w:cs="Times New Roman"/>
          <w:color w:val="auto"/>
          <w:sz w:val="28"/>
          <w:szCs w:val="28"/>
          <w:highlight w:val="none"/>
        </w:rPr>
        <w:t>日</w:t>
      </w: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34"/>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1F2F051"/>
    <w:multiLevelType w:val="singleLevel"/>
    <w:tmpl w:val="A1F2F051"/>
    <w:lvl w:ilvl="0" w:tentative="0">
      <w:start w:val="1"/>
      <w:numFmt w:val="decimal"/>
      <w:suff w:val="nothing"/>
      <w:lvlText w:val="%1、"/>
      <w:lvlJc w:val="left"/>
      <w:pPr>
        <w:ind w:left="560" w:leftChars="0" w:firstLine="0" w:firstLineChars="0"/>
      </w:pPr>
    </w:lvl>
  </w:abstractNum>
  <w:abstractNum w:abstractNumId="1">
    <w:nsid w:val="C65E2C2C"/>
    <w:multiLevelType w:val="singleLevel"/>
    <w:tmpl w:val="C65E2C2C"/>
    <w:lvl w:ilvl="0" w:tentative="0">
      <w:start w:val="4"/>
      <w:numFmt w:val="decimal"/>
      <w:suff w:val="space"/>
      <w:lvlText w:val="%1."/>
      <w:lvlJc w:val="left"/>
    </w:lvl>
  </w:abstractNum>
  <w:abstractNum w:abstractNumId="2">
    <w:nsid w:val="EC370676"/>
    <w:multiLevelType w:val="singleLevel"/>
    <w:tmpl w:val="EC370676"/>
    <w:lvl w:ilvl="0" w:tentative="0">
      <w:start w:val="1"/>
      <w:numFmt w:val="decimal"/>
      <w:suff w:val="space"/>
      <w:lvlText w:val="%1."/>
      <w:lvlJc w:val="left"/>
    </w:lvl>
  </w:abstractNum>
  <w:abstractNum w:abstractNumId="3">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4">
    <w:nsid w:val="4401761E"/>
    <w:multiLevelType w:val="singleLevel"/>
    <w:tmpl w:val="4401761E"/>
    <w:lvl w:ilvl="0" w:tentative="0">
      <w:start w:val="2"/>
      <w:numFmt w:val="decimal"/>
      <w:suff w:val="space"/>
      <w:lvlText w:val="%1."/>
      <w:lvlJc w:val="left"/>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A67464"/>
    <w:rsid w:val="02E1230E"/>
    <w:rsid w:val="0363342C"/>
    <w:rsid w:val="0400088B"/>
    <w:rsid w:val="06DF4ED6"/>
    <w:rsid w:val="0705220E"/>
    <w:rsid w:val="0A775B6C"/>
    <w:rsid w:val="0BB105F9"/>
    <w:rsid w:val="0BCD78E3"/>
    <w:rsid w:val="0BD4352F"/>
    <w:rsid w:val="0D002E61"/>
    <w:rsid w:val="0E9F521D"/>
    <w:rsid w:val="110D6D4E"/>
    <w:rsid w:val="13242E95"/>
    <w:rsid w:val="17073D8B"/>
    <w:rsid w:val="188E6607"/>
    <w:rsid w:val="18D05E89"/>
    <w:rsid w:val="191C6E5A"/>
    <w:rsid w:val="19BD6A9B"/>
    <w:rsid w:val="1AAF6CA7"/>
    <w:rsid w:val="1B753DC5"/>
    <w:rsid w:val="1E9D1B02"/>
    <w:rsid w:val="20F95110"/>
    <w:rsid w:val="21E62141"/>
    <w:rsid w:val="23253252"/>
    <w:rsid w:val="24DD3549"/>
    <w:rsid w:val="27420539"/>
    <w:rsid w:val="27776D4F"/>
    <w:rsid w:val="284C33EF"/>
    <w:rsid w:val="286B6E9D"/>
    <w:rsid w:val="2BD129D7"/>
    <w:rsid w:val="2BFB35B9"/>
    <w:rsid w:val="2C8345D6"/>
    <w:rsid w:val="2DE61E9D"/>
    <w:rsid w:val="2E594393"/>
    <w:rsid w:val="31572BC2"/>
    <w:rsid w:val="33E80446"/>
    <w:rsid w:val="35A21894"/>
    <w:rsid w:val="35CA7C00"/>
    <w:rsid w:val="371221B6"/>
    <w:rsid w:val="3B2962D5"/>
    <w:rsid w:val="3B9345B4"/>
    <w:rsid w:val="3C495586"/>
    <w:rsid w:val="3C614E95"/>
    <w:rsid w:val="3D216C63"/>
    <w:rsid w:val="3D481CA9"/>
    <w:rsid w:val="425A3055"/>
    <w:rsid w:val="42D02360"/>
    <w:rsid w:val="42ED0B8D"/>
    <w:rsid w:val="440B2C50"/>
    <w:rsid w:val="45B12AB5"/>
    <w:rsid w:val="4BC32318"/>
    <w:rsid w:val="4D966CB6"/>
    <w:rsid w:val="51603323"/>
    <w:rsid w:val="52082039"/>
    <w:rsid w:val="520B1012"/>
    <w:rsid w:val="56DD1623"/>
    <w:rsid w:val="5B994AD0"/>
    <w:rsid w:val="5BB97A85"/>
    <w:rsid w:val="5C705EEE"/>
    <w:rsid w:val="5D580A9C"/>
    <w:rsid w:val="5F0C4CFF"/>
    <w:rsid w:val="602A22C2"/>
    <w:rsid w:val="64C4763E"/>
    <w:rsid w:val="65826A80"/>
    <w:rsid w:val="66FB5067"/>
    <w:rsid w:val="6A4209DB"/>
    <w:rsid w:val="6ABA50EB"/>
    <w:rsid w:val="6DEB0CC4"/>
    <w:rsid w:val="6E620EC2"/>
    <w:rsid w:val="72964393"/>
    <w:rsid w:val="72C90F73"/>
    <w:rsid w:val="73223BF6"/>
    <w:rsid w:val="7593546D"/>
    <w:rsid w:val="75C3338A"/>
    <w:rsid w:val="76AB541C"/>
    <w:rsid w:val="77930543"/>
    <w:rsid w:val="780662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semiHidden/>
    <w:unhideWhenUsed/>
    <w:qFormat/>
    <w:uiPriority w:val="99"/>
    <w:pPr>
      <w:jc w:val="left"/>
    </w:pPr>
  </w:style>
  <w:style w:type="paragraph" w:styleId="4">
    <w:name w:val="Block Text"/>
    <w:basedOn w:val="1"/>
    <w:semiHidden/>
    <w:unhideWhenUsed/>
    <w:qFormat/>
    <w:uiPriority w:val="99"/>
    <w:pPr>
      <w:adjustRightInd/>
      <w:ind w:left="525" w:leftChars="250" w:right="685" w:rightChars="326" w:firstLine="560"/>
      <w:jc w:val="both"/>
      <w:textAlignment w:val="auto"/>
    </w:pPr>
    <w:rPr>
      <w:sz w:val="28"/>
      <w:szCs w:val="24"/>
    </w:rPr>
  </w:style>
  <w:style w:type="paragraph" w:styleId="5">
    <w:name w:val="Plain Text"/>
    <w:basedOn w:val="1"/>
    <w:semiHidden/>
    <w:unhideWhenUsed/>
    <w:qFormat/>
    <w:uiPriority w:val="99"/>
    <w:rPr>
      <w:rFonts w:ascii="宋体" w:hAnsi="Courier New" w:cs="Courier New"/>
      <w:szCs w:val="21"/>
    </w:rPr>
  </w:style>
  <w:style w:type="table" w:styleId="7">
    <w:name w:val="Table Grid"/>
    <w:basedOn w:val="6"/>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9">
    <w:name w:val="List Paragraph"/>
    <w:basedOn w:val="1"/>
    <w:qFormat/>
    <w:uiPriority w:val="99"/>
    <w:pPr>
      <w:ind w:firstLine="420" w:firstLineChars="200"/>
    </w:pPr>
  </w:style>
  <w:style w:type="paragraph" w:customStyle="1" w:styleId="10">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2197</Words>
  <Characters>2377</Characters>
  <Lines>0</Lines>
  <Paragraphs>0</Paragraphs>
  <TotalTime>4</TotalTime>
  <ScaleCrop>false</ScaleCrop>
  <LinksUpToDate>false</LinksUpToDate>
  <CharactersWithSpaces>2433</CharactersWithSpaces>
  <Application>WPS Office_11.1.0.9175_F1E327BC-269C-435d-A152-05C5408002CA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2019-11-28T01:31:11Z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2052-11.1.0.9175</vt:lpwstr>
  </property>
</Properties>
</file>