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宋体" w:cs="Times New Roman"/>
          <w:b/>
          <w:sz w:val="28"/>
          <w:szCs w:val="28"/>
        </w:rPr>
      </w:pPr>
      <w:r>
        <w:rPr>
          <w:rFonts w:hint="eastAsia" w:cs="Times New Roman"/>
          <w:b/>
          <w:sz w:val="28"/>
          <w:szCs w:val="28"/>
          <w:lang w:val="en-US" w:eastAsia="zh-CN"/>
        </w:rPr>
        <w:t>聊城经济技术开发区成涛冲压件厂</w:t>
      </w:r>
      <w:r>
        <w:rPr>
          <w:rFonts w:hint="default" w:ascii="Times New Roman" w:hAnsi="Times New Roman" w:eastAsia="宋体" w:cs="Times New Roman"/>
          <w:b/>
          <w:sz w:val="28"/>
          <w:szCs w:val="28"/>
          <w:lang w:val="en-US" w:eastAsia="zh-CN"/>
        </w:rPr>
        <w:t>年加工</w:t>
      </w:r>
      <w:r>
        <w:rPr>
          <w:rFonts w:hint="eastAsia" w:cs="Times New Roman"/>
          <w:b/>
          <w:sz w:val="28"/>
          <w:szCs w:val="28"/>
          <w:lang w:val="en-US" w:eastAsia="zh-CN"/>
        </w:rPr>
        <w:t>300吨</w:t>
      </w:r>
      <w:r>
        <w:rPr>
          <w:rFonts w:hint="default" w:ascii="Times New Roman" w:hAnsi="Times New Roman" w:eastAsia="宋体" w:cs="Times New Roman"/>
          <w:b/>
          <w:sz w:val="28"/>
          <w:szCs w:val="28"/>
          <w:lang w:val="en-US" w:eastAsia="zh-CN"/>
        </w:rPr>
        <w:t>冲压件项目竣工</w:t>
      </w:r>
      <w:r>
        <w:rPr>
          <w:rFonts w:hint="default" w:ascii="Times New Roman" w:hAnsi="Times New Roman" w:eastAsia="宋体" w:cs="Times New Roman"/>
          <w:b/>
          <w:sz w:val="28"/>
          <w:szCs w:val="28"/>
        </w:rPr>
        <w:t>环境保护</w:t>
      </w:r>
    </w:p>
    <w:p>
      <w:pPr>
        <w:tabs>
          <w:tab w:val="left" w:pos="360"/>
        </w:tabs>
        <w:spacing w:line="360" w:lineRule="auto"/>
        <w:ind w:left="298" w:leftChars="142"/>
        <w:jc w:val="center"/>
        <w:rPr>
          <w:rFonts w:hint="default" w:ascii="Times New Roman" w:hAnsi="Times New Roman" w:eastAsia="宋体" w:cs="Times New Roman"/>
          <w:b/>
          <w:sz w:val="30"/>
          <w:szCs w:val="30"/>
        </w:rPr>
      </w:pPr>
      <w:r>
        <w:rPr>
          <w:rFonts w:hint="default" w:ascii="Times New Roman" w:hAnsi="Times New Roman" w:eastAsia="宋体" w:cs="Times New Roman"/>
          <w:b/>
          <w:sz w:val="28"/>
          <w:szCs w:val="28"/>
        </w:rPr>
        <w:t>验收现场检查及验收工作组验收意见</w:t>
      </w:r>
    </w:p>
    <w:p>
      <w:pPr>
        <w:tabs>
          <w:tab w:val="left" w:pos="360"/>
        </w:tabs>
        <w:spacing w:line="360" w:lineRule="auto"/>
        <w:ind w:left="298" w:leftChars="142"/>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highlight w:val="none"/>
        </w:rPr>
        <w:t>201</w:t>
      </w:r>
      <w:r>
        <w:rPr>
          <w:rFonts w:hint="eastAsia" w:cs="Times New Roman"/>
          <w:sz w:val="28"/>
          <w:szCs w:val="28"/>
          <w:highlight w:val="none"/>
          <w:lang w:val="en-US" w:eastAsia="zh-CN"/>
        </w:rPr>
        <w:t>9</w:t>
      </w:r>
      <w:r>
        <w:rPr>
          <w:rFonts w:hint="default" w:ascii="Times New Roman" w:hAnsi="Times New Roman" w:eastAsia="宋体" w:cs="Times New Roman"/>
          <w:sz w:val="28"/>
          <w:szCs w:val="28"/>
          <w:highlight w:val="none"/>
        </w:rPr>
        <w:t>年</w:t>
      </w:r>
      <w:r>
        <w:rPr>
          <w:rFonts w:hint="eastAsia" w:cs="Times New Roman"/>
          <w:sz w:val="28"/>
          <w:szCs w:val="28"/>
          <w:highlight w:val="none"/>
          <w:lang w:val="en-US" w:eastAsia="zh-CN"/>
        </w:rPr>
        <w:t>6</w:t>
      </w:r>
      <w:r>
        <w:rPr>
          <w:rFonts w:hint="default" w:ascii="Times New Roman" w:hAnsi="Times New Roman" w:eastAsia="宋体" w:cs="Times New Roman"/>
          <w:sz w:val="28"/>
          <w:szCs w:val="28"/>
          <w:highlight w:val="none"/>
        </w:rPr>
        <w:t>月</w:t>
      </w:r>
      <w:r>
        <w:rPr>
          <w:rFonts w:hint="eastAsia" w:cs="Times New Roman"/>
          <w:sz w:val="28"/>
          <w:szCs w:val="28"/>
          <w:highlight w:val="none"/>
          <w:lang w:val="en-US" w:eastAsia="zh-CN"/>
        </w:rPr>
        <w:t>22</w:t>
      </w:r>
      <w:r>
        <w:rPr>
          <w:rFonts w:hint="default" w:ascii="Times New Roman" w:hAnsi="Times New Roman" w:eastAsia="宋体" w:cs="Times New Roman"/>
          <w:sz w:val="28"/>
          <w:szCs w:val="28"/>
          <w:highlight w:val="none"/>
        </w:rPr>
        <w:t>日</w:t>
      </w:r>
      <w:r>
        <w:rPr>
          <w:rFonts w:hint="default" w:ascii="Times New Roman" w:hAnsi="Times New Roman" w:eastAsia="宋体" w:cs="Times New Roman"/>
          <w:sz w:val="28"/>
          <w:szCs w:val="28"/>
        </w:rPr>
        <w:t>，</w:t>
      </w:r>
      <w:r>
        <w:rPr>
          <w:rFonts w:hint="eastAsia" w:cs="Times New Roman"/>
          <w:sz w:val="28"/>
          <w:szCs w:val="28"/>
          <w:lang w:val="en-US" w:eastAsia="zh-CN"/>
        </w:rPr>
        <w:t>聊城经济技术开发区成涛冲压件厂</w:t>
      </w:r>
      <w:r>
        <w:rPr>
          <w:rFonts w:hint="default" w:ascii="Times New Roman" w:hAnsi="Times New Roman" w:eastAsia="宋体" w:cs="Times New Roman"/>
          <w:sz w:val="28"/>
          <w:szCs w:val="28"/>
          <w:highlight w:val="none"/>
        </w:rPr>
        <w:t>组织召开</w:t>
      </w:r>
      <w:r>
        <w:rPr>
          <w:rFonts w:hint="default" w:ascii="Times New Roman" w:hAnsi="Times New Roman" w:eastAsia="宋体" w:cs="Times New Roman"/>
          <w:sz w:val="28"/>
          <w:szCs w:val="28"/>
          <w:highlight w:val="none"/>
          <w:lang w:val="en-US" w:eastAsia="zh-CN"/>
        </w:rPr>
        <w:t>年加工</w:t>
      </w:r>
      <w:bookmarkStart w:id="0" w:name="_GoBack"/>
      <w:bookmarkEnd w:id="0"/>
      <w:r>
        <w:rPr>
          <w:rFonts w:hint="eastAsia" w:cs="Times New Roman"/>
          <w:sz w:val="28"/>
          <w:szCs w:val="28"/>
          <w:highlight w:val="none"/>
          <w:lang w:val="en-US" w:eastAsia="zh-CN"/>
        </w:rPr>
        <w:t>300吨</w:t>
      </w:r>
      <w:r>
        <w:rPr>
          <w:rFonts w:hint="default" w:ascii="Times New Roman" w:hAnsi="Times New Roman" w:eastAsia="宋体" w:cs="Times New Roman"/>
          <w:sz w:val="28"/>
          <w:szCs w:val="28"/>
          <w:highlight w:val="none"/>
          <w:lang w:val="en-US" w:eastAsia="zh-CN"/>
        </w:rPr>
        <w:t>冲压件项目</w:t>
      </w:r>
      <w:r>
        <w:rPr>
          <w:rFonts w:hint="default" w:ascii="Times New Roman" w:hAnsi="Times New Roman" w:eastAsia="宋体" w:cs="Times New Roman"/>
          <w:sz w:val="28"/>
          <w:szCs w:val="28"/>
          <w:highlight w:val="none"/>
        </w:rPr>
        <w:t>竣</w:t>
      </w:r>
      <w:r>
        <w:rPr>
          <w:rFonts w:hint="default" w:ascii="Times New Roman" w:hAnsi="Times New Roman" w:eastAsia="宋体" w:cs="Times New Roman"/>
          <w:sz w:val="28"/>
          <w:szCs w:val="28"/>
        </w:rPr>
        <w:t>工环境保护验收现场检查及验收及验收会。验收工作组由工程建设单位（</w:t>
      </w:r>
      <w:r>
        <w:rPr>
          <w:rFonts w:hint="eastAsia" w:cs="Times New Roman"/>
          <w:sz w:val="28"/>
          <w:szCs w:val="28"/>
          <w:lang w:val="en-US" w:eastAsia="zh-CN"/>
        </w:rPr>
        <w:t>聊城经济技术开发区成涛冲压件厂</w:t>
      </w:r>
      <w:r>
        <w:rPr>
          <w:rFonts w:hint="default" w:ascii="Times New Roman" w:hAnsi="Times New Roman" w:eastAsia="宋体" w:cs="Times New Roman"/>
          <w:sz w:val="28"/>
          <w:szCs w:val="28"/>
        </w:rPr>
        <w:t>）、监测单位（</w:t>
      </w:r>
      <w:r>
        <w:rPr>
          <w:rFonts w:hint="default" w:ascii="Times New Roman" w:hAnsi="Times New Roman" w:eastAsia="宋体" w:cs="Times New Roman"/>
          <w:sz w:val="28"/>
          <w:szCs w:val="28"/>
          <w:lang w:eastAsia="zh-CN"/>
        </w:rPr>
        <w:t>山东聊和环保科技有限公司</w:t>
      </w:r>
      <w:r>
        <w:rPr>
          <w:rFonts w:hint="default" w:ascii="Times New Roman" w:hAnsi="Times New Roman" w:eastAsia="宋体" w:cs="Times New Roman"/>
          <w:sz w:val="28"/>
          <w:szCs w:val="28"/>
        </w:rPr>
        <w:t>）并特邀</w:t>
      </w: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项目建设地点</w:t>
      </w:r>
      <w:r>
        <w:rPr>
          <w:rFonts w:hint="default" w:ascii="Times New Roman" w:hAnsi="Times New Roman" w:eastAsia="宋体" w:cs="Times New Roman"/>
          <w:sz w:val="28"/>
          <w:szCs w:val="28"/>
          <w:lang w:eastAsia="zh-CN"/>
        </w:rPr>
        <w:t>位于山东聊城经济开发区蒋官屯办事处前屯村</w:t>
      </w:r>
      <w:r>
        <w:rPr>
          <w:rFonts w:hint="default" w:ascii="Times New Roman" w:hAnsi="Times New Roman" w:eastAsia="宋体" w:cs="Times New Roman"/>
          <w:sz w:val="28"/>
          <w:szCs w:val="28"/>
          <w:lang w:val="en-US" w:eastAsia="zh-CN"/>
        </w:rPr>
        <w:t>。项目</w:t>
      </w:r>
      <w:r>
        <w:rPr>
          <w:rFonts w:hint="default" w:ascii="Times New Roman" w:hAnsi="Times New Roman" w:eastAsia="宋体" w:cs="Times New Roman"/>
          <w:sz w:val="28"/>
          <w:szCs w:val="28"/>
          <w:lang w:eastAsia="zh-CN"/>
        </w:rPr>
        <w:t>总投资</w:t>
      </w:r>
      <w:r>
        <w:rPr>
          <w:rFonts w:hint="default" w:ascii="Times New Roman" w:hAnsi="Times New Roman" w:eastAsia="宋体" w:cs="Times New Roman"/>
          <w:sz w:val="28"/>
          <w:szCs w:val="28"/>
          <w:lang w:val="en-US" w:eastAsia="zh-CN"/>
        </w:rPr>
        <w:t>1</w:t>
      </w:r>
      <w:r>
        <w:rPr>
          <w:rFonts w:hint="eastAsia" w:cs="Times New Roman"/>
          <w:sz w:val="28"/>
          <w:szCs w:val="28"/>
          <w:lang w:val="en-US" w:eastAsia="zh-CN"/>
        </w:rPr>
        <w:t>0</w:t>
      </w:r>
      <w:r>
        <w:rPr>
          <w:rFonts w:hint="default" w:ascii="Times New Roman" w:hAnsi="Times New Roman" w:eastAsia="宋体" w:cs="Times New Roman"/>
          <w:sz w:val="28"/>
          <w:szCs w:val="28"/>
          <w:lang w:val="en-US" w:eastAsia="zh-CN"/>
        </w:rPr>
        <w:t>万元，</w:t>
      </w:r>
      <w:r>
        <w:rPr>
          <w:rFonts w:hint="default" w:ascii="Times New Roman" w:hAnsi="Times New Roman" w:eastAsia="宋体" w:cs="Times New Roman"/>
          <w:sz w:val="28"/>
          <w:szCs w:val="28"/>
        </w:rPr>
        <w:t>占地</w:t>
      </w:r>
      <w:r>
        <w:rPr>
          <w:rFonts w:hint="default" w:ascii="Times New Roman" w:hAnsi="Times New Roman" w:eastAsia="宋体" w:cs="Times New Roman"/>
          <w:sz w:val="28"/>
          <w:szCs w:val="28"/>
          <w:lang w:eastAsia="zh-CN"/>
        </w:rPr>
        <w:t>面积</w:t>
      </w:r>
      <w:r>
        <w:rPr>
          <w:rFonts w:hint="eastAsia" w:cs="Times New Roman"/>
          <w:sz w:val="28"/>
          <w:szCs w:val="28"/>
          <w:lang w:val="en-US" w:eastAsia="zh-CN"/>
        </w:rPr>
        <w:t>31</w:t>
      </w:r>
      <w:r>
        <w:rPr>
          <w:rFonts w:hint="default" w:ascii="Times New Roman" w:hAnsi="Times New Roman" w:eastAsia="宋体" w:cs="Times New Roman"/>
          <w:sz w:val="28"/>
          <w:szCs w:val="28"/>
          <w:lang w:val="en-US" w:eastAsia="zh-CN"/>
        </w:rPr>
        <w:t>0m</w:t>
      </w:r>
      <w:r>
        <w:rPr>
          <w:rFonts w:hint="default" w:ascii="Times New Roman" w:hAnsi="Times New Roman" w:eastAsia="宋体" w:cs="Times New Roman"/>
          <w:sz w:val="28"/>
          <w:szCs w:val="28"/>
          <w:vertAlign w:val="superscript"/>
        </w:rPr>
        <w:t>2</w:t>
      </w:r>
      <w:r>
        <w:rPr>
          <w:rFonts w:hint="default" w:ascii="Times New Roman" w:hAnsi="Times New Roman" w:eastAsia="宋体" w:cs="Times New Roman"/>
          <w:sz w:val="28"/>
          <w:szCs w:val="28"/>
        </w:rPr>
        <w:t>，</w:t>
      </w:r>
      <w:r>
        <w:rPr>
          <w:rFonts w:hint="default" w:ascii="Times New Roman" w:hAnsi="Times New Roman" w:eastAsia="宋体" w:cs="Times New Roman"/>
          <w:sz w:val="28"/>
          <w:szCs w:val="28"/>
          <w:lang w:eastAsia="zh-CN"/>
        </w:rPr>
        <w:t>建设</w:t>
      </w:r>
      <w:r>
        <w:rPr>
          <w:rFonts w:hint="default" w:ascii="Times New Roman" w:hAnsi="Times New Roman" w:eastAsia="宋体" w:cs="Times New Roman"/>
          <w:sz w:val="28"/>
          <w:szCs w:val="28"/>
          <w:lang w:val="en-US" w:eastAsia="zh-CN"/>
        </w:rPr>
        <w:t>年加工</w:t>
      </w: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00吨冲压件项目，购置冲床等设备</w:t>
      </w:r>
      <w:r>
        <w:rPr>
          <w:rFonts w:hint="default" w:ascii="Times New Roman" w:hAnsi="Times New Roman" w:eastAsia="宋体" w:cs="Times New Roman"/>
          <w:sz w:val="28"/>
          <w:szCs w:val="28"/>
          <w:lang w:eastAsia="zh-CN"/>
        </w:rPr>
        <w:t>及配套环保设施。</w:t>
      </w:r>
    </w:p>
    <w:p>
      <w:pPr>
        <w:tabs>
          <w:tab w:val="left" w:pos="360"/>
        </w:tabs>
        <w:spacing w:line="360" w:lineRule="auto"/>
        <w:ind w:left="298" w:leftChars="142" w:firstLine="560" w:firstLineChars="200"/>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（二）环保审批情况</w:t>
      </w:r>
    </w:p>
    <w:p>
      <w:pPr>
        <w:spacing w:line="360" w:lineRule="auto"/>
        <w:ind w:firstLine="560" w:firstLineChars="200"/>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本项目未批先建，聊城市环境保护局经济技术开发区分局对其进行了行政处罚。2017年9月聊城经济技术开发区成涛冲压件厂委托聊城大学编制了《聊城经济技术开发区成涛冲压件厂年加工300吨冲压件项目环境影响报告表》，2017年9月27日聊城市环境保护局经济技术开发区分局以聊开环报告表[2017]593号对其进行了审批。2019年6月公司委托山东聊和环保科技有限公司进行本项目的环保验收监测工作，接受委托后山东聊和环保科技有限公司组织有关技术人员进行现场踏勘，依据监测技术规范制定了环保验收监测方案，并于2019年06月16日-17日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项目实际总投资</w:t>
      </w:r>
      <w:r>
        <w:rPr>
          <w:rFonts w:hint="eastAsia" w:cs="Times New Roman"/>
          <w:sz w:val="28"/>
          <w:szCs w:val="28"/>
          <w:lang w:val="en-US" w:eastAsia="zh-CN"/>
        </w:rPr>
        <w:t>10</w:t>
      </w:r>
      <w:r>
        <w:rPr>
          <w:rFonts w:hint="default" w:ascii="Times New Roman" w:hAnsi="Times New Roman" w:eastAsia="宋体" w:cs="Times New Roman"/>
          <w:sz w:val="28"/>
          <w:szCs w:val="28"/>
        </w:rPr>
        <w:t>万元，其中环保投资</w:t>
      </w:r>
      <w:r>
        <w:rPr>
          <w:rFonts w:hint="default" w:ascii="Times New Roman" w:hAnsi="Times New Roman" w:eastAsia="宋体" w:cs="Times New Roman"/>
          <w:sz w:val="28"/>
          <w:szCs w:val="28"/>
          <w:lang w:val="en-US" w:eastAsia="zh-CN"/>
        </w:rPr>
        <w:t>1.</w:t>
      </w:r>
      <w:r>
        <w:rPr>
          <w:rFonts w:hint="eastAsia" w:cs="Times New Roman"/>
          <w:sz w:val="28"/>
          <w:szCs w:val="28"/>
          <w:lang w:val="en-US" w:eastAsia="zh-CN"/>
        </w:rPr>
        <w:t>7</w:t>
      </w:r>
      <w:r>
        <w:rPr>
          <w:rFonts w:hint="default" w:ascii="Times New Roman" w:hAnsi="Times New Roman" w:eastAsia="宋体" w:cs="Times New Roman"/>
          <w:sz w:val="28"/>
          <w:szCs w:val="28"/>
        </w:rPr>
        <w:t>万元。占总投资</w:t>
      </w:r>
      <w:r>
        <w:rPr>
          <w:rFonts w:hint="eastAsia" w:cs="Times New Roman"/>
          <w:sz w:val="28"/>
          <w:szCs w:val="28"/>
          <w:lang w:val="en-US" w:eastAsia="zh-CN"/>
        </w:rPr>
        <w:t>17</w:t>
      </w:r>
      <w:r>
        <w:rPr>
          <w:rFonts w:hint="default" w:ascii="Times New Roman" w:hAnsi="Times New Roman" w:eastAsia="宋体"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本次验收的范围为</w:t>
      </w:r>
      <w:r>
        <w:rPr>
          <w:rFonts w:hint="eastAsia" w:ascii="Times New Roman" w:hAnsi="Times New Roman" w:eastAsia="宋体" w:cs="Times New Roman"/>
          <w:sz w:val="28"/>
          <w:szCs w:val="28"/>
          <w:lang w:val="en-US" w:eastAsia="zh-CN"/>
        </w:rPr>
        <w:t>300吨冲压件</w:t>
      </w:r>
      <w:r>
        <w:rPr>
          <w:rFonts w:hint="default" w:ascii="Times New Roman" w:hAnsi="Times New Roman" w:eastAsia="宋体" w:cs="Times New Roman"/>
          <w:sz w:val="28"/>
          <w:szCs w:val="28"/>
          <w:lang w:val="en-US" w:eastAsia="zh-CN"/>
        </w:rPr>
        <w:t>生产设备</w:t>
      </w:r>
      <w:r>
        <w:rPr>
          <w:rFonts w:hint="default" w:ascii="Times New Roman" w:hAnsi="Times New Roman" w:eastAsia="宋体" w:cs="Times New Roman"/>
          <w:sz w:val="28"/>
          <w:szCs w:val="28"/>
        </w:rPr>
        <w:t>及其配套环保设施。</w:t>
      </w:r>
    </w:p>
    <w:p>
      <w:pPr>
        <w:tabs>
          <w:tab w:val="left" w:pos="360"/>
        </w:tabs>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二、工程变更情况</w:t>
      </w:r>
    </w:p>
    <w:p>
      <w:pPr>
        <w:spacing w:line="360" w:lineRule="auto"/>
        <w:ind w:firstLine="840" w:firstLineChars="3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通过现场调查，对照环评报告及审批意见，生产性质、生产规模、生产地点、生产工艺及环保设施均无明显变动，故本项目工程无重大变动。</w:t>
      </w:r>
    </w:p>
    <w:p>
      <w:pPr>
        <w:pStyle w:val="9"/>
        <w:numPr>
          <w:ilvl w:val="0"/>
          <w:numId w:val="1"/>
        </w:numPr>
        <w:spacing w:line="360" w:lineRule="auto"/>
        <w:ind w:firstLineChars="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环境保护设施落实情况</w:t>
      </w:r>
    </w:p>
    <w:p>
      <w:pPr>
        <w:pStyle w:val="9"/>
        <w:spacing w:beforeLines="50" w:line="360" w:lineRule="auto"/>
        <w:ind w:left="141" w:leftChars="67" w:firstLine="280" w:firstLineChars="1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本项目废水主要是职工日常生活废水，生活废水进入厂区旱厕，定期清运用于农田施肥，不外排。</w:t>
      </w:r>
    </w:p>
    <w:p>
      <w:pPr>
        <w:widowControl/>
        <w:spacing w:line="360" w:lineRule="auto"/>
        <w:ind w:firstLine="420" w:firstLineChars="150"/>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本项目无废气产生。</w:t>
      </w:r>
    </w:p>
    <w:p>
      <w:pPr>
        <w:spacing w:line="360" w:lineRule="auto"/>
        <w:ind w:left="0" w:leftChars="0" w:firstLine="420" w:firstLineChars="150"/>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（三）噪声</w:t>
      </w:r>
    </w:p>
    <w:p>
      <w:pPr>
        <w:spacing w:line="360" w:lineRule="auto"/>
        <w:ind w:firstLine="560" w:firstLineChars="200"/>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 xml:space="preserve">本目主要噪声源为冲床等设备运行时产生的噪声。通过基础减振、距离衰减等综合控制等措施，降低对外环境的影响。 </w:t>
      </w:r>
    </w:p>
    <w:p>
      <w:pPr>
        <w:spacing w:line="360" w:lineRule="auto"/>
        <w:ind w:firstLine="420" w:firstLineChars="15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（四）固体废物</w:t>
      </w:r>
    </w:p>
    <w:p>
      <w:pPr>
        <w:pStyle w:val="2"/>
        <w:spacing w:line="360" w:lineRule="auto"/>
        <w:ind w:left="0" w:leftChars="0" w:firstLine="560" w:firstLineChars="200"/>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本项目主要固体废物是加工产生的下脚料和员工生活垃圾。生活垃圾委托环卫部门处理；下脚料收集暂存后交资源回收单位处理。</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（一）环保设施运行检测结果</w:t>
      </w:r>
    </w:p>
    <w:p>
      <w:pPr>
        <w:widowControl/>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山东聊和环保科技有限公司</w:t>
      </w:r>
      <w:r>
        <w:rPr>
          <w:rFonts w:hint="default" w:ascii="Times New Roman" w:hAnsi="Times New Roman" w:eastAsia="宋体" w:cs="Times New Roman"/>
          <w:sz w:val="28"/>
          <w:szCs w:val="28"/>
        </w:rPr>
        <w:t>出具的</w:t>
      </w:r>
      <w:r>
        <w:rPr>
          <w:rFonts w:hint="default" w:ascii="Times New Roman" w:hAnsi="Times New Roman" w:eastAsia="宋体" w:cs="Times New Roman"/>
          <w:b w:val="0"/>
          <w:bCs w:val="0"/>
          <w:sz w:val="28"/>
          <w:szCs w:val="28"/>
        </w:rPr>
        <w:t>《</w:t>
      </w:r>
      <w:r>
        <w:rPr>
          <w:rFonts w:hint="eastAsia" w:cs="Times New Roman"/>
          <w:b w:val="0"/>
          <w:bCs w:val="0"/>
          <w:sz w:val="28"/>
          <w:szCs w:val="28"/>
          <w:lang w:val="en-US" w:eastAsia="zh-CN"/>
        </w:rPr>
        <w:t>聊城经济技术开发区成涛冲压件厂</w:t>
      </w:r>
      <w:r>
        <w:rPr>
          <w:rFonts w:hint="default" w:ascii="Times New Roman" w:hAnsi="Times New Roman" w:eastAsia="宋体" w:cs="Times New Roman"/>
          <w:b w:val="0"/>
          <w:bCs w:val="0"/>
          <w:sz w:val="28"/>
          <w:szCs w:val="28"/>
          <w:lang w:val="en-US" w:eastAsia="zh-CN"/>
        </w:rPr>
        <w:t>年加工</w:t>
      </w:r>
      <w:r>
        <w:rPr>
          <w:rFonts w:hint="eastAsia" w:cs="Times New Roman"/>
          <w:b w:val="0"/>
          <w:bCs w:val="0"/>
          <w:sz w:val="28"/>
          <w:szCs w:val="28"/>
          <w:lang w:val="en-US" w:eastAsia="zh-CN"/>
        </w:rPr>
        <w:t>300吨</w:t>
      </w:r>
      <w:r>
        <w:rPr>
          <w:rFonts w:hint="default" w:ascii="Times New Roman" w:hAnsi="Times New Roman" w:eastAsia="宋体" w:cs="Times New Roman"/>
          <w:b w:val="0"/>
          <w:bCs w:val="0"/>
          <w:sz w:val="28"/>
          <w:szCs w:val="28"/>
          <w:lang w:val="en-US" w:eastAsia="zh-CN"/>
        </w:rPr>
        <w:t>冲压件项目</w:t>
      </w:r>
      <w:r>
        <w:rPr>
          <w:rFonts w:hint="default" w:ascii="Times New Roman" w:hAnsi="Times New Roman" w:eastAsia="宋体" w:cs="Times New Roman"/>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废水</w:t>
      </w:r>
    </w:p>
    <w:p>
      <w:pPr>
        <w:ind w:firstLine="560" w:firstLineChars="200"/>
        <w:rPr>
          <w:rFonts w:hint="default" w:ascii="Times New Roman" w:hAnsi="Times New Roman" w:eastAsia="宋体" w:cs="Times New Roman"/>
          <w:b w:val="0"/>
          <w:bCs w:val="0"/>
          <w:color w:val="000000"/>
          <w:sz w:val="28"/>
          <w:szCs w:val="28"/>
          <w:lang w:val="en-US" w:eastAsia="zh-CN"/>
        </w:rPr>
      </w:pPr>
      <w:r>
        <w:rPr>
          <w:rFonts w:hint="default" w:ascii="Times New Roman" w:hAnsi="Times New Roman" w:eastAsia="宋体" w:cs="Times New Roman"/>
          <w:sz w:val="28"/>
          <w:szCs w:val="28"/>
          <w:lang w:val="en-US" w:eastAsia="zh-CN"/>
        </w:rPr>
        <w:t>本项目无生产废水，生活污水经旱厕收集后定期清运肥田，不外排。</w:t>
      </w:r>
    </w:p>
    <w:p>
      <w:pPr>
        <w:numPr>
          <w:ilvl w:val="0"/>
          <w:numId w:val="3"/>
        </w:numPr>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废气</w:t>
      </w:r>
    </w:p>
    <w:p>
      <w:pPr>
        <w:spacing w:line="360" w:lineRule="auto"/>
        <w:ind w:firstLine="56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sz w:val="28"/>
          <w:szCs w:val="28"/>
          <w:lang w:val="en-US" w:eastAsia="zh-CN"/>
        </w:rPr>
        <w:t>本项目无废气产生。</w:t>
      </w:r>
    </w:p>
    <w:p>
      <w:pPr>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rPr>
        <w:t>. 噪声</w:t>
      </w:r>
    </w:p>
    <w:p>
      <w:pPr>
        <w:spacing w:beforeLines="50" w:line="360" w:lineRule="auto"/>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验收监测期间，厂界四周监测点位昼间噪声在</w:t>
      </w:r>
      <w:r>
        <w:rPr>
          <w:rFonts w:hint="default" w:ascii="Times New Roman" w:hAnsi="Times New Roman" w:eastAsia="宋体" w:cs="Times New Roman"/>
          <w:sz w:val="28"/>
          <w:szCs w:val="28"/>
          <w:lang w:val="en-US" w:eastAsia="zh-CN"/>
        </w:rPr>
        <w:t>53.8-58.3</w:t>
      </w:r>
      <w:r>
        <w:rPr>
          <w:rFonts w:hint="default" w:ascii="Times New Roman" w:hAnsi="Times New Roman" w:eastAsia="宋体" w:cs="Times New Roman"/>
          <w:sz w:val="28"/>
          <w:szCs w:val="28"/>
          <w:lang w:eastAsia="zh-CN"/>
        </w:rPr>
        <w:t>(dB)之间，夜间不生产，符合《工业企业厂界环境噪声排放标准》（GB12348－2008）中的2类标准限值。</w:t>
      </w:r>
    </w:p>
    <w:p>
      <w:pPr>
        <w:numPr>
          <w:ilvl w:val="0"/>
          <w:numId w:val="4"/>
        </w:num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beforeLines="50" w:line="360" w:lineRule="auto"/>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项目产生的固体废物主要是下脚料和生活垃圾。下脚料外售综合利用；生活垃圾委托环卫部门清运。</w:t>
      </w:r>
    </w:p>
    <w:p>
      <w:pPr>
        <w:spacing w:beforeLines="50" w:line="360" w:lineRule="auto"/>
        <w:ind w:firstLine="280" w:firstLineChars="100"/>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（二）环境管理调查</w:t>
      </w:r>
    </w:p>
    <w:p>
      <w:pPr>
        <w:spacing w:line="360" w:lineRule="auto"/>
        <w:ind w:firstLine="560" w:firstLineChars="200"/>
        <w:rPr>
          <w:rFonts w:hint="default" w:ascii="Times New Roman" w:hAnsi="Times New Roman" w:eastAsia="宋体" w:cs="Times New Roman"/>
          <w:color w:val="000000"/>
          <w:sz w:val="28"/>
          <w:szCs w:val="28"/>
        </w:rPr>
      </w:pPr>
      <w:r>
        <w:rPr>
          <w:rFonts w:hint="eastAsia" w:cs="Times New Roman"/>
          <w:sz w:val="28"/>
          <w:szCs w:val="36"/>
          <w:lang w:eastAsia="zh-CN"/>
        </w:rPr>
        <w:t>聊城经济技术开发区成涛冲压件厂</w:t>
      </w:r>
      <w:r>
        <w:rPr>
          <w:rFonts w:hint="default" w:ascii="Times New Roman" w:hAnsi="Times New Roman" w:eastAsia="宋体" w:cs="Times New Roman"/>
          <w:color w:val="000000"/>
          <w:sz w:val="28"/>
          <w:szCs w:val="28"/>
        </w:rPr>
        <w:t>制定了《</w:t>
      </w:r>
      <w:r>
        <w:rPr>
          <w:rFonts w:hint="eastAsia" w:cs="Times New Roman"/>
          <w:sz w:val="28"/>
          <w:szCs w:val="36"/>
          <w:lang w:eastAsia="zh-CN"/>
        </w:rPr>
        <w:t>聊城经济技术开发区成涛冲压件厂</w:t>
      </w:r>
      <w:r>
        <w:rPr>
          <w:rFonts w:hint="default" w:ascii="Times New Roman" w:hAnsi="Times New Roman" w:eastAsia="宋体" w:cs="Times New Roman"/>
          <w:color w:val="000000"/>
          <w:sz w:val="28"/>
          <w:szCs w:val="28"/>
        </w:rPr>
        <w:t>环保管理制度》</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color w:val="000000"/>
          <w:sz w:val="28"/>
          <w:szCs w:val="28"/>
        </w:rPr>
        <w:t>并设立了相关机构。日常工作由</w:t>
      </w:r>
      <w:r>
        <w:rPr>
          <w:rFonts w:hint="eastAsia" w:cs="Times New Roman"/>
          <w:color w:val="000000"/>
          <w:sz w:val="28"/>
          <w:szCs w:val="28"/>
          <w:lang w:eastAsia="zh-CN"/>
        </w:rPr>
        <w:t>办公室</w:t>
      </w:r>
      <w:r>
        <w:rPr>
          <w:rFonts w:hint="default" w:ascii="Times New Roman" w:hAnsi="Times New Roman" w:eastAsia="宋体" w:cs="Times New Roman"/>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五、专家意见：</w:t>
      </w:r>
    </w:p>
    <w:p>
      <w:pPr>
        <w:spacing w:line="360" w:lineRule="auto"/>
        <w:ind w:firstLine="420" w:firstLineChars="15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定期用抹布擦拭设备润滑油污，注意保持地面清洁；</w:t>
      </w:r>
    </w:p>
    <w:p>
      <w:pPr>
        <w:pStyle w:val="5"/>
        <w:numPr>
          <w:ilvl w:val="0"/>
          <w:numId w:val="5"/>
        </w:numPr>
        <w:ind w:left="560" w:leftChars="0" w:firstLine="0" w:firstLineChars="0"/>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生产时关闭门窗，降低噪声对周围环境的影响</w:t>
      </w:r>
      <w:r>
        <w:rPr>
          <w:rFonts w:hint="default" w:ascii="Times New Roman" w:hAnsi="Times New Roman" w:eastAsia="宋体" w:cs="Times New Roman"/>
          <w:sz w:val="28"/>
          <w:szCs w:val="28"/>
          <w:lang w:val="en-US" w:eastAsia="zh-CN"/>
        </w:rPr>
        <w:t>。</w:t>
      </w:r>
    </w:p>
    <w:p>
      <w:pPr>
        <w:spacing w:line="360" w:lineRule="auto"/>
        <w:ind w:firstLine="420" w:firstLineChars="15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六</w:t>
      </w:r>
      <w:r>
        <w:rPr>
          <w:rFonts w:hint="default" w:ascii="Times New Roman" w:hAnsi="Times New Roman" w:eastAsia="宋体" w:cs="Times New Roman"/>
          <w:sz w:val="28"/>
          <w:szCs w:val="28"/>
        </w:rPr>
        <w:t>、验收结论</w:t>
      </w:r>
    </w:p>
    <w:p>
      <w:pPr>
        <w:spacing w:line="360" w:lineRule="auto"/>
        <w:ind w:firstLine="555"/>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eastAsia" w:cs="Times New Roman"/>
          <w:sz w:val="28"/>
          <w:szCs w:val="36"/>
          <w:lang w:eastAsia="zh-CN"/>
        </w:rPr>
        <w:t>聊城经济技术开发区成涛冲压件厂</w:t>
      </w:r>
      <w:r>
        <w:rPr>
          <w:rFonts w:hint="default" w:ascii="Times New Roman" w:hAnsi="Times New Roman" w:eastAsia="宋体" w:cs="Times New Roman"/>
          <w:sz w:val="28"/>
          <w:szCs w:val="28"/>
        </w:rPr>
        <w:t>验收组</w:t>
      </w:r>
    </w:p>
    <w:p>
      <w:pPr>
        <w:spacing w:line="360" w:lineRule="auto"/>
        <w:jc w:val="right"/>
        <w:rPr>
          <w:rFonts w:hint="default" w:ascii="Times New Roman" w:hAnsi="Times New Roman" w:eastAsia="宋体" w:cs="Times New Roman"/>
          <w:lang w:eastAsia="zh-CN"/>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highlight w:val="none"/>
        </w:rPr>
        <w:t xml:space="preserve">    201</w:t>
      </w:r>
      <w:r>
        <w:rPr>
          <w:rFonts w:hint="eastAsia" w:cs="Times New Roman"/>
          <w:sz w:val="28"/>
          <w:szCs w:val="28"/>
          <w:highlight w:val="none"/>
          <w:lang w:val="en-US" w:eastAsia="zh-CN"/>
        </w:rPr>
        <w:t>9</w:t>
      </w:r>
      <w:r>
        <w:rPr>
          <w:rFonts w:hint="default" w:ascii="Times New Roman" w:hAnsi="Times New Roman" w:eastAsia="宋体" w:cs="Times New Roman"/>
          <w:sz w:val="28"/>
          <w:szCs w:val="28"/>
          <w:highlight w:val="none"/>
        </w:rPr>
        <w:t>年</w:t>
      </w:r>
      <w:r>
        <w:rPr>
          <w:rFonts w:hint="eastAsia" w:cs="Times New Roman"/>
          <w:sz w:val="28"/>
          <w:szCs w:val="28"/>
          <w:highlight w:val="none"/>
          <w:lang w:val="en-US" w:eastAsia="zh-CN"/>
        </w:rPr>
        <w:t>6</w:t>
      </w:r>
      <w:r>
        <w:rPr>
          <w:rFonts w:hint="default" w:ascii="Times New Roman" w:hAnsi="Times New Roman" w:eastAsia="宋体" w:cs="Times New Roman"/>
          <w:sz w:val="28"/>
          <w:szCs w:val="28"/>
          <w:highlight w:val="none"/>
        </w:rPr>
        <w:t>月</w:t>
      </w:r>
      <w:r>
        <w:rPr>
          <w:rFonts w:hint="eastAsia" w:cs="Times New Roman"/>
          <w:sz w:val="28"/>
          <w:szCs w:val="28"/>
          <w:highlight w:val="none"/>
          <w:lang w:val="en-US" w:eastAsia="zh-CN"/>
        </w:rPr>
        <w:t>22</w:t>
      </w:r>
      <w:r>
        <w:rPr>
          <w:rFonts w:hint="default" w:ascii="Times New Roman" w:hAnsi="Times New Roman" w:eastAsia="宋体"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110D6D4E"/>
    <w:rsid w:val="13242E95"/>
    <w:rsid w:val="13C97717"/>
    <w:rsid w:val="16D20B22"/>
    <w:rsid w:val="18675679"/>
    <w:rsid w:val="18D05E89"/>
    <w:rsid w:val="19BD6A9B"/>
    <w:rsid w:val="1AAF6CA7"/>
    <w:rsid w:val="26B564F3"/>
    <w:rsid w:val="27420539"/>
    <w:rsid w:val="286B6E9D"/>
    <w:rsid w:val="2BFB35B9"/>
    <w:rsid w:val="2E3B0222"/>
    <w:rsid w:val="31572BC2"/>
    <w:rsid w:val="39D31BFF"/>
    <w:rsid w:val="39D9507A"/>
    <w:rsid w:val="3B2962D5"/>
    <w:rsid w:val="3C614E95"/>
    <w:rsid w:val="42D02360"/>
    <w:rsid w:val="440B2C50"/>
    <w:rsid w:val="45B12AB5"/>
    <w:rsid w:val="4ECF6D4B"/>
    <w:rsid w:val="516D3DB9"/>
    <w:rsid w:val="52082039"/>
    <w:rsid w:val="520B1012"/>
    <w:rsid w:val="56DD1623"/>
    <w:rsid w:val="5F0C4CFF"/>
    <w:rsid w:val="65826A80"/>
    <w:rsid w:val="66FB5067"/>
    <w:rsid w:val="6A4209DB"/>
    <w:rsid w:val="6AB12CAA"/>
    <w:rsid w:val="6ABA50EB"/>
    <w:rsid w:val="6B892AA7"/>
    <w:rsid w:val="6DEB0CC4"/>
    <w:rsid w:val="6E620EC2"/>
    <w:rsid w:val="77930543"/>
    <w:rsid w:val="7E121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2019-12-07T08:19:34Z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