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33" w:leftChars="111" w:firstLine="651" w:firstLineChars="216"/>
        <w:jc w:val="center"/>
        <w:rPr>
          <w:rFonts w:hint="eastAsia" w:cs="Times New Roman"/>
          <w:b/>
          <w:color w:val="auto"/>
          <w:sz w:val="30"/>
          <w:szCs w:val="30"/>
          <w:lang w:val="en-US" w:eastAsia="zh-CN"/>
        </w:rPr>
      </w:pPr>
      <w:r>
        <w:rPr>
          <w:rFonts w:hint="eastAsia" w:cs="Times New Roman"/>
          <w:b/>
          <w:color w:val="auto"/>
          <w:sz w:val="30"/>
          <w:szCs w:val="30"/>
          <w:lang w:val="en-US" w:eastAsia="zh-CN"/>
        </w:rPr>
        <w:t>山东睿特森环保科技有限公司年产3000台畜禽粪污处理设备生产</w:t>
      </w:r>
    </w:p>
    <w:p>
      <w:pPr>
        <w:tabs>
          <w:tab w:val="left" w:pos="220"/>
        </w:tabs>
        <w:spacing w:line="360" w:lineRule="auto"/>
        <w:ind w:left="233" w:leftChars="111" w:firstLine="651" w:firstLineChars="216"/>
        <w:jc w:val="center"/>
        <w:rPr>
          <w:rFonts w:hint="default" w:ascii="Times New Roman" w:hAnsi="Times New Roman" w:eastAsia="宋体" w:cs="Times New Roman"/>
          <w:b/>
          <w:color w:val="auto"/>
          <w:sz w:val="30"/>
          <w:szCs w:val="30"/>
        </w:rPr>
      </w:pPr>
      <w:r>
        <w:rPr>
          <w:rFonts w:hint="eastAsia" w:cs="Times New Roman"/>
          <w:b/>
          <w:color w:val="auto"/>
          <w:sz w:val="30"/>
          <w:szCs w:val="30"/>
          <w:lang w:val="en-US" w:eastAsia="zh-CN"/>
        </w:rPr>
        <w:t>项目</w:t>
      </w:r>
      <w:r>
        <w:rPr>
          <w:rFonts w:hint="default" w:ascii="Times New Roman" w:hAnsi="Times New Roman" w:eastAsia="宋体" w:cs="Times New Roman"/>
          <w:b/>
          <w:color w:val="auto"/>
          <w:sz w:val="30"/>
          <w:szCs w:val="30"/>
          <w:lang w:val="en-US" w:eastAsia="zh-CN"/>
        </w:rPr>
        <w:t>竣工</w:t>
      </w:r>
      <w:r>
        <w:rPr>
          <w:rFonts w:hint="default" w:ascii="Times New Roman" w:hAnsi="Times New Roman" w:eastAsia="宋体" w:cs="Times New Roman"/>
          <w:b/>
          <w:color w:val="auto"/>
          <w:sz w:val="30"/>
          <w:szCs w:val="30"/>
        </w:rPr>
        <w:t>环境保护验收现场检查及验收工作组验收意见</w:t>
      </w:r>
    </w:p>
    <w:p>
      <w:pPr>
        <w:tabs>
          <w:tab w:val="left" w:pos="220"/>
        </w:tabs>
        <w:spacing w:line="24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highlight w:val="none"/>
        </w:rPr>
        <w:t>201</w:t>
      </w:r>
      <w:r>
        <w:rPr>
          <w:rFonts w:hint="eastAsia"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8</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山东睿特森环保科技有限公司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年产3000台畜禽粪污处理设备生产项目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山东睿特森环保科技有限公司</w:t>
      </w:r>
      <w:r>
        <w:rPr>
          <w:rFonts w:hint="default" w:ascii="Times New Roman" w:hAnsi="Times New Roman" w:eastAsia="宋体" w:cs="Times New Roman"/>
          <w:color w:val="auto"/>
          <w:sz w:val="28"/>
          <w:szCs w:val="28"/>
        </w:rPr>
        <w:t>）、环评单位（</w:t>
      </w:r>
      <w:r>
        <w:rPr>
          <w:rFonts w:hint="eastAsia" w:cs="Times New Roman"/>
          <w:color w:val="auto"/>
          <w:sz w:val="28"/>
          <w:szCs w:val="28"/>
          <w:lang w:val="en-US" w:eastAsia="zh-CN"/>
        </w:rPr>
        <w:t>山东海美侬项目咨询有限公司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8"/>
          <w:szCs w:val="28"/>
        </w:rPr>
        <w:t>项目建设地点</w:t>
      </w:r>
      <w:r>
        <w:rPr>
          <w:rFonts w:hint="default" w:ascii="Times New Roman" w:hAnsi="Times New Roman" w:eastAsia="宋体" w:cs="Times New Roman"/>
          <w:color w:val="auto"/>
          <w:sz w:val="28"/>
          <w:szCs w:val="28"/>
          <w:lang w:eastAsia="zh-CN"/>
        </w:rPr>
        <w:t>位于聊城鲁西经济开发区（莘县工业园区）鸿图街3号</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eastAsia="zh-CN"/>
        </w:rPr>
        <w:t>总投资</w:t>
      </w:r>
      <w:r>
        <w:rPr>
          <w:rFonts w:hint="eastAsia" w:cs="Times New Roman"/>
          <w:color w:val="auto"/>
          <w:sz w:val="28"/>
          <w:szCs w:val="28"/>
          <w:lang w:val="en-US" w:eastAsia="zh-CN"/>
        </w:rPr>
        <w:t>1500</w:t>
      </w:r>
      <w:r>
        <w:rPr>
          <w:rFonts w:hint="eastAsia"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lang w:val="en-US" w:eastAsia="zh-CN"/>
        </w:rPr>
        <w:t>元，</w:t>
      </w:r>
      <w:r>
        <w:rPr>
          <w:rFonts w:hint="default" w:ascii="Times New Roman" w:hAnsi="Times New Roman" w:eastAsia="宋体" w:cs="Times New Roman"/>
          <w:color w:val="auto"/>
          <w:sz w:val="28"/>
          <w:szCs w:val="28"/>
        </w:rPr>
        <w:t>占地</w:t>
      </w:r>
      <w:r>
        <w:rPr>
          <w:rFonts w:hint="default" w:ascii="Times New Roman" w:hAnsi="Times New Roman" w:eastAsia="宋体" w:cs="Times New Roman"/>
          <w:color w:val="auto"/>
          <w:sz w:val="28"/>
          <w:szCs w:val="28"/>
          <w:lang w:eastAsia="zh-CN"/>
        </w:rPr>
        <w:t>面积</w:t>
      </w:r>
      <w:r>
        <w:rPr>
          <w:rFonts w:hint="eastAsia" w:cs="Times New Roman"/>
          <w:color w:val="auto"/>
          <w:sz w:val="28"/>
          <w:szCs w:val="28"/>
          <w:lang w:val="en-US" w:eastAsia="zh-CN"/>
        </w:rPr>
        <w:t>39</w:t>
      </w:r>
      <w:r>
        <w:rPr>
          <w:rFonts w:hint="eastAsia" w:ascii="Times New Roman" w:hAnsi="Times New Roman" w:eastAsia="宋体" w:cs="Times New Roman"/>
          <w:color w:val="auto"/>
          <w:sz w:val="28"/>
          <w:szCs w:val="28"/>
          <w:lang w:val="en-US" w:eastAsia="zh-CN"/>
        </w:rPr>
        <w:t>0</w:t>
      </w:r>
      <w:r>
        <w:rPr>
          <w:rFonts w:hint="eastAsia" w:cs="Times New Roman"/>
          <w:color w:val="auto"/>
          <w:sz w:val="28"/>
          <w:szCs w:val="28"/>
          <w:lang w:val="en-US" w:eastAsia="zh-CN"/>
        </w:rPr>
        <w:t>0</w:t>
      </w:r>
      <w:r>
        <w:rPr>
          <w:rFonts w:hint="default" w:ascii="Times New Roman" w:hAnsi="Times New Roman" w:eastAsia="宋体" w:cs="Times New Roman"/>
          <w:color w:val="auto"/>
          <w:sz w:val="28"/>
          <w:szCs w:val="28"/>
        </w:rPr>
        <w:t>m</w:t>
      </w:r>
      <w:r>
        <w:rPr>
          <w:rFonts w:hint="default" w:ascii="Times New Roman" w:hAnsi="Times New Roman" w:eastAsia="宋体" w:cs="Times New Roman"/>
          <w:color w:val="auto"/>
          <w:sz w:val="28"/>
          <w:szCs w:val="28"/>
          <w:vertAlign w:val="superscript"/>
        </w:rPr>
        <w:t>2</w:t>
      </w:r>
      <w:r>
        <w:rPr>
          <w:rFonts w:hint="default" w:ascii="Times New Roman" w:hAnsi="Times New Roman" w:eastAsia="宋体" w:cs="Times New Roman"/>
          <w:color w:val="auto"/>
          <w:sz w:val="28"/>
          <w:szCs w:val="28"/>
        </w:rPr>
        <w:t>，</w:t>
      </w:r>
      <w:r>
        <w:rPr>
          <w:rFonts w:hint="eastAsia" w:ascii="Times New Roman" w:hAnsi="Times New Roman" w:eastAsia="宋体" w:cs="Times New Roman"/>
          <w:color w:val="auto"/>
          <w:sz w:val="28"/>
          <w:szCs w:val="28"/>
          <w:lang w:eastAsia="zh-CN"/>
        </w:rPr>
        <w:t>租赁厂房新建年产3000台畜禽粪污处理设备生产项目</w:t>
      </w:r>
      <w:r>
        <w:rPr>
          <w:rFonts w:hint="eastAsia"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2018年8月山东睿特森环保科技有限公司委托山东海美侬项目咨询有限公司编制了《山东睿特森环保科技有限公司年产3000台畜禽粪污处理设备生产项目环境影响报告表》，2018年10月23日莘县环境保护局以莘环报告表【2018】118号对其进行了审批。公司于2018年10月开始具备年产3000台畜禽粪污处理设备生产能力，开始试生产。2019年3月公司委托山东聊和环保科技有限公司进行该项目的环保验收监测工作，接受委托后山东聊和环保科技有限公司组织有关技术人员进行现场踏勘，依据监测技术规范制定了环保验收监测方案，并于2019年07月12日-13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1500</w:t>
      </w:r>
      <w:r>
        <w:rPr>
          <w:rFonts w:hint="eastAsia"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43</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2.9</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3000台畜禽粪污处理设备</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经现场验收核查，对照环评报告及审批意见，厂区内无旱厕，职工如厕依托园区公共洗手间，其他洗手等少量废水洒水抑尘；经与企业核实，不锈钢产品无需喷漆可直接外售，喷漆时间实为2小时/月，本次验收期间无生产废水产生，待产生后须经莘县碧海绿源污水处理有限公司清运处理，已签订污水清运处理协议。生产性质、生产地点、生产规模、生产工艺流程及环保设施均无明显变动，故本项目工程无重大变动</w:t>
      </w:r>
      <w:bookmarkStart w:id="0" w:name="_GoBack"/>
      <w:bookmarkEnd w:id="0"/>
      <w:r>
        <w:rPr>
          <w:rFonts w:hint="default" w:ascii="Times New Roman" w:hAnsi="Times New Roman" w:eastAsia="宋体" w:cs="Times New Roman"/>
          <w:color w:val="auto"/>
          <w:sz w:val="28"/>
          <w:szCs w:val="28"/>
        </w:rPr>
        <w:t>。</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水主要为喷淋塔更换废水和职工生活污水。其中喷淋废水定期投入絮凝剂沉淀后循环利用，定期更换，经莘县碧海绿源污水处理有限公司清运处理。职工如厕依托园区公共洗手间，其他洗手等少量废水洒水抑尘。</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废气主要为切割废气、焊接废气、打磨废气和喷漆及烘干过程产生的有机废气。对于切割废气、焊接废气、打磨废气，建设单位在每个工序设置集气罩，经集气罩负压收集后引入统一布袋除尘器处理后，通过15m高排气筒排放（P1）；喷漆及烘干过程产生的颗粒物和有机废气，建设单位采用负压收集+水喷淋（除颗粒物）+光催化氧化+活性炭吸附处理后，通过15m排气筒排放（P2）。对于未收集到的机加工产生的颗粒物、喷漆房的颗粒物及有机废气通过车间通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源主要为机械加工设备、焊接设备、涂装车间引风机设备运行产生的噪声。采取选用低噪声设备，风机等高噪声级设备均采用减振基底，定期进行设备检修，减轻设备运转时产生的噪声等措施，经墙壁隔声、距离衰减后，最大程度地降低对外声环境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废主要包括废边角料、废铁屑、废液压油、废润滑油、废切削液、废焊渣、废漆渣、废漆桶、生活垃圾等；其中废润滑油、废液压油、废切削液、废活性炭、废UV灯管为危险废物，于厂区内设置危废库暂存，定期委托有资质单位聊城市舒达再生资源回收有限公司进行处置；废边角料、废铁屑、废焊渣为一般固废，定期外售废品站；生活垃圾及废漆渣由环卫部门定期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山东睿特森环保科技有限公司年产3000台畜禽粪污处理设备生产项目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pStyle w:val="2"/>
        <w:spacing w:line="360" w:lineRule="auto"/>
        <w:ind w:firstLine="482"/>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验收监测期间，（</w:t>
      </w:r>
      <w:r>
        <w:rPr>
          <w:rFonts w:hint="default" w:ascii="Times New Roman" w:hAnsi="Times New Roman" w:eastAsia="宋体" w:cs="Times New Roman"/>
          <w:color w:val="auto"/>
          <w:sz w:val="28"/>
          <w:szCs w:val="28"/>
          <w:lang w:val="en-US" w:eastAsia="zh-CN"/>
        </w:rPr>
        <w:t>P</w:t>
      </w:r>
      <w:r>
        <w:rPr>
          <w:rFonts w:hint="default" w:ascii="Times New Roman" w:hAnsi="Times New Roman" w:eastAsia="宋体" w:cs="Times New Roman"/>
          <w:color w:val="auto"/>
          <w:sz w:val="28"/>
          <w:szCs w:val="28"/>
          <w:vertAlign w:val="subscript"/>
          <w:lang w:val="en-US" w:eastAsia="zh-CN"/>
        </w:rPr>
        <w:t>1</w:t>
      </w:r>
      <w:r>
        <w:rPr>
          <w:rFonts w:hint="default" w:ascii="Times New Roman" w:hAnsi="Times New Roman" w:eastAsia="宋体" w:cs="Times New Roman"/>
          <w:color w:val="auto"/>
          <w:sz w:val="28"/>
          <w:szCs w:val="28"/>
          <w:vertAlign w:val="baseline"/>
          <w:lang w:val="en-US" w:eastAsia="zh-CN"/>
        </w:rPr>
        <w:t>、</w:t>
      </w:r>
      <w:r>
        <w:rPr>
          <w:rFonts w:hint="default" w:ascii="Times New Roman" w:hAnsi="Times New Roman" w:eastAsia="宋体" w:cs="Times New Roman"/>
          <w:color w:val="auto"/>
          <w:sz w:val="28"/>
          <w:szCs w:val="28"/>
          <w:lang w:val="en-US" w:eastAsia="zh-CN"/>
        </w:rPr>
        <w:t>P</w:t>
      </w:r>
      <w:r>
        <w:rPr>
          <w:rFonts w:hint="default" w:ascii="Times New Roman" w:hAnsi="Times New Roman" w:eastAsia="宋体" w:cs="Times New Roman"/>
          <w:color w:val="auto"/>
          <w:sz w:val="28"/>
          <w:szCs w:val="28"/>
          <w:vertAlign w:val="subscript"/>
          <w:lang w:val="en-US" w:eastAsia="zh-CN"/>
        </w:rPr>
        <w:t>2</w:t>
      </w:r>
      <w:r>
        <w:rPr>
          <w:rFonts w:hint="default" w:ascii="Times New Roman" w:hAnsi="Times New Roman" w:eastAsia="宋体" w:cs="Times New Roman"/>
          <w:color w:val="auto"/>
          <w:sz w:val="28"/>
          <w:szCs w:val="28"/>
        </w:rPr>
        <w:t>）有组织颗粒物最高排放浓度为</w:t>
      </w:r>
      <w:r>
        <w:rPr>
          <w:rFonts w:hint="default" w:ascii="Times New Roman" w:hAnsi="Times New Roman" w:eastAsia="宋体" w:cs="Times New Roman"/>
          <w:color w:val="auto"/>
          <w:sz w:val="28"/>
          <w:szCs w:val="28"/>
          <w:lang w:val="en-US" w:eastAsia="zh-CN"/>
        </w:rPr>
        <w:t>3.2</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，排放速率最高为0.0</w:t>
      </w:r>
      <w:r>
        <w:rPr>
          <w:rFonts w:hint="default" w:ascii="Times New Roman" w:hAnsi="Times New Roman" w:eastAsia="宋体" w:cs="Times New Roman"/>
          <w:color w:val="auto"/>
          <w:sz w:val="28"/>
          <w:szCs w:val="28"/>
          <w:lang w:val="en-US" w:eastAsia="zh-CN"/>
        </w:rPr>
        <w:t>27</w:t>
      </w:r>
      <w:r>
        <w:rPr>
          <w:rFonts w:hint="default" w:ascii="Times New Roman" w:hAnsi="Times New Roman" w:eastAsia="宋体" w:cs="Times New Roman"/>
          <w:color w:val="auto"/>
          <w:sz w:val="28"/>
          <w:szCs w:val="28"/>
        </w:rPr>
        <w:t>kg/h，满足《山东省区域性大气污染物综合排放标准》（DB37/2376-2013）中“</w:t>
      </w:r>
      <w:r>
        <w:rPr>
          <w:rFonts w:hint="default" w:ascii="Times New Roman" w:hAnsi="Times New Roman" w:eastAsia="宋体" w:cs="Times New Roman"/>
          <w:color w:val="auto"/>
          <w:sz w:val="28"/>
          <w:szCs w:val="28"/>
          <w:lang w:eastAsia="zh-CN"/>
        </w:rPr>
        <w:t>重点控制区</w:t>
      </w:r>
      <w:r>
        <w:rPr>
          <w:rFonts w:hint="default" w:ascii="Times New Roman" w:hAnsi="Times New Roman" w:eastAsia="宋体" w:cs="Times New Roman"/>
          <w:color w:val="auto"/>
          <w:sz w:val="28"/>
          <w:szCs w:val="28"/>
        </w:rPr>
        <w:t>”标准浓度限值要求及《大气污染物综合排放标准》（GB16297-1996）中相关排放速率限值要求；（</w:t>
      </w:r>
      <w:r>
        <w:rPr>
          <w:rFonts w:hint="default" w:ascii="Times New Roman" w:hAnsi="Times New Roman" w:eastAsia="宋体" w:cs="Times New Roman"/>
          <w:color w:val="auto"/>
          <w:sz w:val="28"/>
          <w:szCs w:val="28"/>
          <w:lang w:val="en-US" w:eastAsia="zh-CN"/>
        </w:rPr>
        <w:t>P</w:t>
      </w:r>
      <w:r>
        <w:rPr>
          <w:rFonts w:hint="default" w:ascii="Times New Roman" w:hAnsi="Times New Roman" w:eastAsia="宋体" w:cs="Times New Roman"/>
          <w:color w:val="auto"/>
          <w:sz w:val="28"/>
          <w:szCs w:val="28"/>
          <w:vertAlign w:val="subscript"/>
          <w:lang w:val="en-US" w:eastAsia="zh-CN"/>
        </w:rPr>
        <w:t>2</w:t>
      </w:r>
      <w:r>
        <w:rPr>
          <w:rFonts w:hint="default" w:ascii="Times New Roman" w:hAnsi="Times New Roman" w:eastAsia="宋体" w:cs="Times New Roman"/>
          <w:color w:val="auto"/>
          <w:sz w:val="28"/>
          <w:szCs w:val="28"/>
        </w:rPr>
        <w:t>）苯最高排放浓度为0.</w:t>
      </w:r>
      <w:r>
        <w:rPr>
          <w:rFonts w:hint="default" w:ascii="Times New Roman" w:hAnsi="Times New Roman" w:eastAsia="宋体" w:cs="Times New Roman"/>
          <w:color w:val="auto"/>
          <w:sz w:val="28"/>
          <w:szCs w:val="28"/>
          <w:lang w:val="en-US" w:eastAsia="zh-CN"/>
        </w:rPr>
        <w:t>287</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，排放速率最高为</w:t>
      </w:r>
      <w:r>
        <w:rPr>
          <w:rFonts w:hint="default" w:ascii="Times New Roman" w:hAnsi="Times New Roman" w:eastAsia="宋体" w:cs="Times New Roman"/>
          <w:color w:val="auto"/>
          <w:sz w:val="28"/>
          <w:szCs w:val="28"/>
          <w:lang w:val="en-US" w:eastAsia="zh-CN"/>
        </w:rPr>
        <w:t>2.56</w:t>
      </w:r>
      <w:r>
        <w:rPr>
          <w:rFonts w:hint="default" w:ascii="Times New Roman" w:hAnsi="Times New Roman" w:eastAsia="宋体" w:cs="Times New Roman"/>
          <w:color w:val="auto"/>
          <w:sz w:val="28"/>
          <w:szCs w:val="28"/>
        </w:rPr>
        <w:t>×10</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kg/h，甲苯最高排放浓度为0.2</w:t>
      </w:r>
      <w:r>
        <w:rPr>
          <w:rFonts w:hint="default" w:ascii="Times New Roman" w:hAnsi="Times New Roman" w:eastAsia="宋体" w:cs="Times New Roman"/>
          <w:color w:val="auto"/>
          <w:sz w:val="28"/>
          <w:szCs w:val="28"/>
          <w:lang w:val="en-US" w:eastAsia="zh-CN"/>
        </w:rPr>
        <w:t>01</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，排放速率最高为</w:t>
      </w:r>
      <w:r>
        <w:rPr>
          <w:rFonts w:hint="default" w:ascii="Times New Roman" w:hAnsi="Times New Roman" w:eastAsia="宋体" w:cs="Times New Roman"/>
          <w:color w:val="auto"/>
          <w:sz w:val="28"/>
          <w:szCs w:val="28"/>
          <w:lang w:val="en-US" w:eastAsia="zh-CN"/>
        </w:rPr>
        <w:t>1.77</w:t>
      </w:r>
      <w:r>
        <w:rPr>
          <w:rFonts w:hint="default" w:ascii="Times New Roman" w:hAnsi="Times New Roman" w:eastAsia="宋体" w:cs="Times New Roman"/>
          <w:color w:val="auto"/>
          <w:sz w:val="28"/>
          <w:szCs w:val="28"/>
        </w:rPr>
        <w:t>×10</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kg/h，二甲苯最高排放浓度为0.</w:t>
      </w:r>
      <w:r>
        <w:rPr>
          <w:rFonts w:hint="default" w:ascii="Times New Roman" w:hAnsi="Times New Roman" w:eastAsia="宋体" w:cs="Times New Roman"/>
          <w:color w:val="auto"/>
          <w:sz w:val="28"/>
          <w:szCs w:val="28"/>
          <w:lang w:val="en-US" w:eastAsia="zh-CN"/>
        </w:rPr>
        <w:t>211</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，排放速率最高为</w:t>
      </w:r>
      <w:r>
        <w:rPr>
          <w:rFonts w:hint="default" w:ascii="Times New Roman" w:hAnsi="Times New Roman" w:eastAsia="宋体" w:cs="Times New Roman"/>
          <w:color w:val="auto"/>
          <w:sz w:val="28"/>
          <w:szCs w:val="28"/>
          <w:lang w:val="en-US" w:eastAsia="zh-CN"/>
        </w:rPr>
        <w:t>1.92</w:t>
      </w:r>
      <w:r>
        <w:rPr>
          <w:rFonts w:hint="default" w:ascii="Times New Roman" w:hAnsi="Times New Roman" w:eastAsia="宋体" w:cs="Times New Roman"/>
          <w:color w:val="auto"/>
          <w:sz w:val="28"/>
          <w:szCs w:val="28"/>
        </w:rPr>
        <w:t>×10</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kg/h，非甲烷总烃最高排放浓度为</w:t>
      </w:r>
      <w:r>
        <w:rPr>
          <w:rFonts w:hint="default" w:ascii="Times New Roman" w:hAnsi="Times New Roman" w:eastAsia="宋体" w:cs="Times New Roman"/>
          <w:color w:val="auto"/>
          <w:sz w:val="28"/>
          <w:szCs w:val="28"/>
          <w:lang w:val="en-US" w:eastAsia="zh-CN"/>
        </w:rPr>
        <w:t>0.76</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，排放速率最高为</w:t>
      </w:r>
      <w:r>
        <w:rPr>
          <w:rFonts w:hint="default" w:ascii="Times New Roman" w:hAnsi="Times New Roman" w:eastAsia="宋体" w:cs="Times New Roman"/>
          <w:color w:val="auto"/>
          <w:sz w:val="28"/>
          <w:szCs w:val="28"/>
          <w:lang w:val="en-US" w:eastAsia="zh-CN"/>
        </w:rPr>
        <w:t>7.5</w:t>
      </w:r>
      <w:r>
        <w:rPr>
          <w:rFonts w:hint="default" w:ascii="Times New Roman" w:hAnsi="Times New Roman" w:eastAsia="宋体" w:cs="Times New Roman"/>
          <w:color w:val="auto"/>
          <w:sz w:val="28"/>
          <w:szCs w:val="28"/>
        </w:rPr>
        <w:t>×10</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kg/h，均满足《挥发性有机物排放标准 第5部分:表面涂装行业》(DB37/2801.5-2018)表2标准要求。无组织颗粒物小时浓度最高为0.</w:t>
      </w:r>
      <w:r>
        <w:rPr>
          <w:rFonts w:hint="default" w:ascii="Times New Roman" w:hAnsi="Times New Roman" w:eastAsia="宋体" w:cs="Times New Roman"/>
          <w:color w:val="auto"/>
          <w:sz w:val="28"/>
          <w:szCs w:val="28"/>
          <w:lang w:val="en-US" w:eastAsia="zh-CN"/>
        </w:rPr>
        <w:t>322</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，苯、无组织甲苯及无组织二甲苯均未检出，非甲烷总烃小时浓度最高为0.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rPr>
        <w:t>mg/m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，均满足《挥发性有机物排放标准 第5部分:表面涂装行业》(DB37/2801.5-2018)表3标准要求。</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sz w:val="28"/>
          <w:szCs w:val="28"/>
          <w:lang w:val="en-US" w:eastAsia="zh-CN"/>
        </w:rPr>
        <w:t>总量核查：本项目折满负荷</w:t>
      </w:r>
      <w:r>
        <w:rPr>
          <w:rFonts w:hint="default" w:ascii="Times New Roman" w:hAnsi="Times New Roman" w:eastAsia="宋体" w:cs="Times New Roman"/>
          <w:color w:val="auto"/>
          <w:sz w:val="28"/>
          <w:szCs w:val="28"/>
          <w:lang w:val="en-US" w:eastAsia="zh-CN"/>
        </w:rPr>
        <w:t>VOCs</w:t>
      </w:r>
      <w:r>
        <w:rPr>
          <w:rFonts w:hint="default" w:ascii="Times New Roman" w:hAnsi="Times New Roman" w:eastAsia="宋体" w:cs="Times New Roman"/>
          <w:sz w:val="28"/>
          <w:szCs w:val="28"/>
          <w:lang w:val="en-US" w:eastAsia="zh-CN"/>
        </w:rPr>
        <w:t>排放总量分别为</w:t>
      </w:r>
      <w:r>
        <w:rPr>
          <w:rFonts w:hint="eastAsia" w:cs="Times New Roman"/>
          <w:sz w:val="28"/>
          <w:szCs w:val="28"/>
          <w:lang w:val="en-US" w:eastAsia="zh-CN"/>
        </w:rPr>
        <w:t>0.00018</w:t>
      </w:r>
      <w:r>
        <w:rPr>
          <w:rFonts w:hint="default" w:ascii="Times New Roman" w:hAnsi="Times New Roman" w:eastAsia="宋体" w:cs="Times New Roman"/>
          <w:sz w:val="28"/>
          <w:szCs w:val="28"/>
          <w:lang w:val="en-US" w:eastAsia="zh-CN"/>
        </w:rPr>
        <w:t>t/</w:t>
      </w:r>
      <w:r>
        <w:rPr>
          <w:rFonts w:hint="default" w:ascii="Times New Roman" w:hAnsi="Times New Roman" w:eastAsia="宋体" w:cs="Times New Roman"/>
          <w:color w:val="auto"/>
          <w:sz w:val="28"/>
          <w:szCs w:val="28"/>
          <w:lang w:val="en-US" w:eastAsia="zh-CN"/>
        </w:rPr>
        <w:t>a，满足环评结论总量指标VOCs0.0036</w:t>
      </w:r>
      <w:r>
        <w:rPr>
          <w:rFonts w:hint="default" w:ascii="Times New Roman" w:hAnsi="Times New Roman" w:eastAsia="宋体" w:cs="Times New Roman"/>
          <w:color w:val="auto"/>
          <w:sz w:val="28"/>
          <w:szCs w:val="28"/>
        </w:rPr>
        <w:t>t/a</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33" w:leftChars="111" w:firstLine="604" w:firstLineChars="216"/>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 xml:space="preserve"> 验收监测期间，监测点位昼间噪声在54.5-58.2(dB)之间，符合《工业企业厂界环境噪声排放标准》（GB12348-2008）中的2类标准限值。</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en-US"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36"/>
          <w:lang w:eastAsia="zh-CN"/>
        </w:rPr>
        <w:t>山东睿特森环保科技有限公司</w:t>
      </w:r>
      <w:r>
        <w:rPr>
          <w:rFonts w:hint="default" w:ascii="Times New Roman" w:hAnsi="Times New Roman" w:eastAsia="宋体" w:cs="Times New Roman"/>
          <w:color w:val="auto"/>
          <w:sz w:val="28"/>
          <w:szCs w:val="28"/>
        </w:rPr>
        <w:t>制定了《</w:t>
      </w:r>
      <w:r>
        <w:rPr>
          <w:rFonts w:hint="eastAsia" w:cs="Times New Roman"/>
          <w:color w:val="auto"/>
          <w:sz w:val="28"/>
          <w:szCs w:val="36"/>
          <w:lang w:eastAsia="zh-CN"/>
        </w:rPr>
        <w:t>山东睿特森环保科技有限公司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24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喷漆车间顶部进一步封闭；</w:t>
      </w:r>
    </w:p>
    <w:p>
      <w:pPr>
        <w:pStyle w:val="5"/>
        <w:numPr>
          <w:ilvl w:val="0"/>
          <w:numId w:val="5"/>
        </w:numPr>
        <w:spacing w:line="24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进一步规范爬梯，加装扶手；</w:t>
      </w:r>
    </w:p>
    <w:p>
      <w:pPr>
        <w:pStyle w:val="5"/>
        <w:numPr>
          <w:ilvl w:val="0"/>
          <w:numId w:val="5"/>
        </w:numPr>
        <w:spacing w:line="24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危废暂存间加托盘、台账；</w:t>
      </w:r>
    </w:p>
    <w:p>
      <w:pPr>
        <w:pStyle w:val="5"/>
        <w:numPr>
          <w:ilvl w:val="0"/>
          <w:numId w:val="5"/>
        </w:numPr>
        <w:spacing w:line="24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机床周围注意及时清理。</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鉴于项目符合国家和地方相关产业标准及准入要求，用地符合当地规划，环保设施与生产配套，验收期间各项监测指标满足国家相关排放标准，该项目通过环保验收。                   </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36"/>
          <w:lang w:eastAsia="zh-CN"/>
        </w:rPr>
        <w:t>山东睿特森环保科技有限公司</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eastAsia"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8</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10D6D4E"/>
    <w:rsid w:val="13242E95"/>
    <w:rsid w:val="17073D8B"/>
    <w:rsid w:val="188E6607"/>
    <w:rsid w:val="18D05E89"/>
    <w:rsid w:val="19BD6A9B"/>
    <w:rsid w:val="1AAF6CA7"/>
    <w:rsid w:val="1B753DC5"/>
    <w:rsid w:val="1E9D1B02"/>
    <w:rsid w:val="20F95110"/>
    <w:rsid w:val="21E62141"/>
    <w:rsid w:val="23253252"/>
    <w:rsid w:val="24DD3549"/>
    <w:rsid w:val="27420539"/>
    <w:rsid w:val="27776D4F"/>
    <w:rsid w:val="284C33EF"/>
    <w:rsid w:val="286B6E9D"/>
    <w:rsid w:val="2BD129D7"/>
    <w:rsid w:val="2BFB35B9"/>
    <w:rsid w:val="2C8345D6"/>
    <w:rsid w:val="2E594393"/>
    <w:rsid w:val="31572BC2"/>
    <w:rsid w:val="35A21894"/>
    <w:rsid w:val="35CA7C00"/>
    <w:rsid w:val="371221B6"/>
    <w:rsid w:val="3B2962D5"/>
    <w:rsid w:val="3B9345B4"/>
    <w:rsid w:val="3C495586"/>
    <w:rsid w:val="3C614E95"/>
    <w:rsid w:val="3D216C63"/>
    <w:rsid w:val="3D481CA9"/>
    <w:rsid w:val="3E8877DE"/>
    <w:rsid w:val="425A3055"/>
    <w:rsid w:val="42972B03"/>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28F1FF5"/>
    <w:rsid w:val="64C4763E"/>
    <w:rsid w:val="65826A80"/>
    <w:rsid w:val="66FB5067"/>
    <w:rsid w:val="6A4209DB"/>
    <w:rsid w:val="6ABA50EB"/>
    <w:rsid w:val="6DEB0CC4"/>
    <w:rsid w:val="6E620EC2"/>
    <w:rsid w:val="72964393"/>
    <w:rsid w:val="72C90F73"/>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2019-11-07T07:07:02Z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