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20"/>
        </w:tabs>
        <w:spacing w:line="360" w:lineRule="auto"/>
        <w:ind w:left="420" w:leftChars="200" w:right="504" w:rightChars="240" w:firstLine="449" w:firstLineChars="149"/>
        <w:jc w:val="center"/>
        <w:rPr>
          <w:rFonts w:hint="default" w:ascii="Times New Roman" w:hAnsi="Times New Roman" w:eastAsia="宋体" w:cs="Times New Roman"/>
          <w:b/>
          <w:sz w:val="30"/>
          <w:szCs w:val="30"/>
        </w:rPr>
      </w:pPr>
      <w:r>
        <w:rPr>
          <w:rFonts w:hint="eastAsia" w:cs="Times New Roman"/>
          <w:b/>
          <w:sz w:val="30"/>
          <w:szCs w:val="30"/>
          <w:lang w:val="en-US" w:eastAsia="zh-CN"/>
        </w:rPr>
        <w:t>山东意吉希精密制造有限公司高端装备零部件产业化建设项目</w:t>
      </w:r>
      <w:r>
        <w:rPr>
          <w:rFonts w:hint="default" w:ascii="Times New Roman" w:hAnsi="Times New Roman" w:eastAsia="宋体" w:cs="Times New Roman"/>
          <w:b/>
          <w:sz w:val="30"/>
          <w:szCs w:val="30"/>
          <w:lang w:val="en-US" w:eastAsia="zh-CN"/>
        </w:rPr>
        <w:t>竣工</w:t>
      </w:r>
      <w:r>
        <w:rPr>
          <w:rFonts w:hint="default" w:ascii="Times New Roman" w:hAnsi="Times New Roman" w:eastAsia="宋体" w:cs="Times New Roman"/>
          <w:b/>
          <w:sz w:val="30"/>
          <w:szCs w:val="30"/>
        </w:rPr>
        <w:t>环境保护验收现场检查及验收工作组验收意见</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highlight w:val="none"/>
        </w:rPr>
        <w:t>201</w:t>
      </w:r>
      <w:r>
        <w:rPr>
          <w:rFonts w:hint="eastAsia" w:cs="Times New Roman"/>
          <w:sz w:val="28"/>
          <w:szCs w:val="28"/>
          <w:highlight w:val="none"/>
          <w:lang w:val="en-US" w:eastAsia="zh-CN"/>
        </w:rPr>
        <w:t>9</w:t>
      </w:r>
      <w:r>
        <w:rPr>
          <w:rFonts w:hint="default" w:ascii="Times New Roman" w:hAnsi="Times New Roman" w:eastAsia="宋体" w:cs="Times New Roman"/>
          <w:sz w:val="28"/>
          <w:szCs w:val="28"/>
          <w:highlight w:val="none"/>
        </w:rPr>
        <w:t>年</w:t>
      </w:r>
      <w:r>
        <w:rPr>
          <w:rFonts w:hint="eastAsia" w:cs="Times New Roman"/>
          <w:sz w:val="28"/>
          <w:szCs w:val="28"/>
          <w:highlight w:val="none"/>
          <w:lang w:val="en-US" w:eastAsia="zh-CN"/>
        </w:rPr>
        <w:t>12</w:t>
      </w:r>
      <w:r>
        <w:rPr>
          <w:rFonts w:hint="default" w:ascii="Times New Roman" w:hAnsi="Times New Roman" w:eastAsia="宋体" w:cs="Times New Roman"/>
          <w:sz w:val="28"/>
          <w:szCs w:val="28"/>
          <w:highlight w:val="none"/>
        </w:rPr>
        <w:t>月</w:t>
      </w:r>
      <w:r>
        <w:rPr>
          <w:rFonts w:hint="eastAsia" w:cs="Times New Roman"/>
          <w:sz w:val="28"/>
          <w:szCs w:val="28"/>
          <w:highlight w:val="none"/>
          <w:lang w:val="en-US" w:eastAsia="zh-CN"/>
        </w:rPr>
        <w:t>13</w:t>
      </w:r>
      <w:r>
        <w:rPr>
          <w:rFonts w:hint="default" w:ascii="Times New Roman" w:hAnsi="Times New Roman" w:eastAsia="宋体" w:cs="Times New Roman"/>
          <w:sz w:val="28"/>
          <w:szCs w:val="28"/>
          <w:highlight w:val="none"/>
        </w:rPr>
        <w:t>日</w:t>
      </w:r>
      <w:r>
        <w:rPr>
          <w:rFonts w:hint="default" w:ascii="Times New Roman" w:hAnsi="Times New Roman" w:eastAsia="宋体" w:cs="Times New Roman"/>
          <w:sz w:val="28"/>
          <w:szCs w:val="28"/>
        </w:rPr>
        <w:t>，</w:t>
      </w:r>
      <w:r>
        <w:rPr>
          <w:rFonts w:hint="eastAsia" w:cs="Times New Roman"/>
          <w:sz w:val="28"/>
          <w:szCs w:val="28"/>
          <w:lang w:val="en-US" w:eastAsia="zh-CN"/>
        </w:rPr>
        <w:t>山东意吉希精密制造有限公司</w:t>
      </w:r>
      <w:r>
        <w:rPr>
          <w:rFonts w:hint="default" w:ascii="Times New Roman" w:hAnsi="Times New Roman" w:eastAsia="宋体" w:cs="Times New Roman"/>
          <w:sz w:val="28"/>
          <w:szCs w:val="28"/>
          <w:highlight w:val="none"/>
        </w:rPr>
        <w:t>组织召开</w:t>
      </w:r>
      <w:r>
        <w:rPr>
          <w:rFonts w:hint="eastAsia" w:cs="Times New Roman"/>
          <w:sz w:val="28"/>
          <w:szCs w:val="28"/>
          <w:highlight w:val="none"/>
          <w:lang w:val="en-US" w:eastAsia="zh-CN"/>
        </w:rPr>
        <w:t>高端装备零部件产业化建设项目</w:t>
      </w:r>
      <w:r>
        <w:rPr>
          <w:rFonts w:hint="default" w:ascii="Times New Roman" w:hAnsi="Times New Roman" w:eastAsia="宋体" w:cs="Times New Roman"/>
          <w:sz w:val="28"/>
          <w:szCs w:val="28"/>
          <w:highlight w:val="none"/>
        </w:rPr>
        <w:t>竣</w:t>
      </w:r>
      <w:r>
        <w:rPr>
          <w:rFonts w:hint="default" w:ascii="Times New Roman" w:hAnsi="Times New Roman" w:eastAsia="宋体" w:cs="Times New Roman"/>
          <w:sz w:val="28"/>
          <w:szCs w:val="28"/>
        </w:rPr>
        <w:t>工环境保护验收现场检查及验收及验收会。验收工作组由工程建设单位（</w:t>
      </w:r>
      <w:r>
        <w:rPr>
          <w:rFonts w:hint="eastAsia" w:cs="Times New Roman"/>
          <w:sz w:val="28"/>
          <w:szCs w:val="28"/>
          <w:lang w:val="en-US" w:eastAsia="zh-CN"/>
        </w:rPr>
        <w:t>山东意吉希精密制造有限公司</w:t>
      </w:r>
      <w:r>
        <w:rPr>
          <w:rFonts w:hint="default" w:ascii="Times New Roman" w:hAnsi="Times New Roman" w:eastAsia="宋体" w:cs="Times New Roman"/>
          <w:sz w:val="28"/>
          <w:szCs w:val="28"/>
        </w:rPr>
        <w:t>）、监测单位（</w:t>
      </w:r>
      <w:r>
        <w:rPr>
          <w:rFonts w:hint="eastAsia" w:cs="Times New Roman"/>
          <w:sz w:val="28"/>
          <w:szCs w:val="28"/>
          <w:lang w:eastAsia="zh-CN"/>
        </w:rPr>
        <w:t>国衡环境监测有限公司</w:t>
      </w:r>
      <w:r>
        <w:rPr>
          <w:rFonts w:hint="default" w:ascii="Times New Roman" w:hAnsi="Times New Roman" w:eastAsia="宋体" w:cs="Times New Roman"/>
          <w:sz w:val="28"/>
          <w:szCs w:val="28"/>
        </w:rPr>
        <w:t>）并特邀</w:t>
      </w:r>
      <w:r>
        <w:rPr>
          <w:rFonts w:hint="default" w:ascii="Times New Roman" w:hAnsi="Times New Roman" w:eastAsia="宋体" w:cs="Times New Roman"/>
          <w:sz w:val="28"/>
          <w:szCs w:val="28"/>
          <w:lang w:val="en-US" w:eastAsia="zh-CN"/>
        </w:rPr>
        <w:t>2</w:t>
      </w:r>
      <w:r>
        <w:rPr>
          <w:rFonts w:hint="default" w:ascii="Times New Roman" w:hAnsi="Times New Roman" w:eastAsia="宋体" w:cs="Times New Roman"/>
          <w:sz w:val="28"/>
          <w:szCs w:val="28"/>
        </w:rPr>
        <w:t>名技术专家（名单附后）组成。</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一、工程建设基本情况</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（一）建设地点、规模、主要建设内容</w:t>
      </w:r>
    </w:p>
    <w:p>
      <w:pPr>
        <w:pStyle w:val="3"/>
        <w:numPr>
          <w:ilvl w:val="0"/>
          <w:numId w:val="0"/>
        </w:numPr>
        <w:spacing w:line="360" w:lineRule="auto"/>
        <w:ind w:left="420" w:leftChars="200" w:right="504" w:rightChars="240" w:firstLine="417" w:firstLineChars="14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项目建设地点</w:t>
      </w:r>
      <w:r>
        <w:rPr>
          <w:rFonts w:hint="default" w:ascii="Times New Roman" w:hAnsi="Times New Roman" w:eastAsia="宋体" w:cs="Times New Roman"/>
          <w:sz w:val="28"/>
          <w:szCs w:val="28"/>
          <w:lang w:eastAsia="zh-CN"/>
        </w:rPr>
        <w:t>位于</w:t>
      </w:r>
      <w:r>
        <w:rPr>
          <w:rFonts w:hint="eastAsia" w:cs="Times New Roman"/>
          <w:sz w:val="28"/>
          <w:szCs w:val="28"/>
          <w:lang w:eastAsia="zh-CN"/>
        </w:rPr>
        <w:t>聊城市高新区中华路东元江路北（日发纺机对面）</w:t>
      </w:r>
      <w:r>
        <w:rPr>
          <w:rFonts w:hint="default" w:ascii="Times New Roman" w:hAnsi="Times New Roman" w:eastAsia="宋体" w:cs="Times New Roman"/>
          <w:sz w:val="28"/>
          <w:szCs w:val="28"/>
          <w:lang w:val="en-US" w:eastAsia="zh-CN"/>
        </w:rPr>
        <w:t>。项目</w:t>
      </w:r>
      <w:r>
        <w:rPr>
          <w:rFonts w:hint="eastAsia" w:cs="Times New Roman"/>
          <w:sz w:val="28"/>
          <w:szCs w:val="28"/>
          <w:lang w:eastAsia="zh-CN"/>
        </w:rPr>
        <w:t>总投资650</w:t>
      </w:r>
      <w:r>
        <w:rPr>
          <w:rFonts w:hint="default" w:ascii="Times New Roman" w:hAnsi="Times New Roman" w:eastAsia="宋体" w:cs="Times New Roman"/>
          <w:sz w:val="28"/>
          <w:szCs w:val="28"/>
          <w:lang w:val="en-US" w:eastAsia="zh-CN"/>
        </w:rPr>
        <w:t>万元，</w:t>
      </w:r>
      <w:r>
        <w:rPr>
          <w:rFonts w:hint="default" w:ascii="Times New Roman" w:hAnsi="Times New Roman" w:eastAsia="宋体" w:cs="Times New Roman"/>
          <w:sz w:val="28"/>
          <w:szCs w:val="28"/>
        </w:rPr>
        <w:t>占地</w:t>
      </w:r>
      <w:r>
        <w:rPr>
          <w:rFonts w:hint="default" w:ascii="Times New Roman" w:hAnsi="Times New Roman" w:eastAsia="宋体" w:cs="Times New Roman"/>
          <w:sz w:val="28"/>
          <w:szCs w:val="28"/>
          <w:lang w:eastAsia="zh-CN"/>
        </w:rPr>
        <w:t>面积17856平方米</w:t>
      </w:r>
      <w:r>
        <w:rPr>
          <w:rFonts w:hint="default" w:ascii="Times New Roman" w:hAnsi="Times New Roman" w:eastAsia="宋体" w:cs="Times New Roman"/>
          <w:sz w:val="28"/>
          <w:szCs w:val="28"/>
        </w:rPr>
        <w:t>，建设气类轴承保持器生产线、零类轴承保持器生产线、偏心套（锁紧套）生产线、新产品冲压件生产线、风电轴承保持器生产线及辅助生产设施和公用工程等，主要生产设备自动卷料机、高速冲床、台式钻床、数控机床、精密仪表机床等。生产能力可达年生产卡簧100万套、冲压件50万套、高端轴承保持器18000万套、偏心套&amp;锁紧套500万套以及精密轴承2000万套</w:t>
      </w:r>
      <w:r>
        <w:rPr>
          <w:rFonts w:hint="default" w:ascii="Times New Roman" w:hAnsi="Times New Roman" w:eastAsia="宋体" w:cs="Times New Roman"/>
          <w:sz w:val="28"/>
          <w:szCs w:val="28"/>
          <w:lang w:eastAsia="zh-CN"/>
        </w:rPr>
        <w:t>。</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（二）环保审批情况</w:t>
      </w:r>
    </w:p>
    <w:p>
      <w:pPr>
        <w:spacing w:line="360" w:lineRule="auto"/>
        <w:ind w:left="420" w:leftChars="200" w:right="504" w:rightChars="240" w:firstLine="417" w:firstLineChars="14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山东意吉希精密制造有限公司于2019年5月委托江苏苏辰勘查设计研究院有限公司编制完成了《山东意吉希精密制造有限公司高端装备零部件产业化建设项目环境影响报告表》，2019年9月6日聊城市生态环境局高新技术产业开发区分局以聊高新环报告表[2019]25号文对该项目进行了批复。并通过聊城高新区行政审批服务局批准，批准文号：2019-371591-34-03-017812。</w:t>
      </w:r>
    </w:p>
    <w:p>
      <w:pPr>
        <w:spacing w:line="360" w:lineRule="auto"/>
        <w:ind w:left="420" w:leftChars="200" w:right="504" w:rightChars="240" w:firstLine="417" w:firstLineChars="149"/>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2019年11月29日山东意吉希精密制造有限公司委托国衡环境监测有限公司进行高端装备零部件产业化建设项目进行现场勘查，并编制验收方案。2019年12月5日-12月6日，国衡环境监测有限公司根据验收监测方案对该项目外排污染物、环保设施运行情况进行了监测；对环境管理水平情况进行了检查；根据实地调查和监测的结果，编制了《山东意吉希精密制造有限公司高端装备零部件产业化建设项目验收监测报告表》。</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（三）投资情况</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项目实际</w:t>
      </w:r>
      <w:r>
        <w:rPr>
          <w:rFonts w:hint="eastAsia" w:cs="Times New Roman"/>
          <w:sz w:val="28"/>
          <w:szCs w:val="28"/>
          <w:lang w:eastAsia="zh-CN"/>
        </w:rPr>
        <w:t>总投资650</w:t>
      </w:r>
      <w:r>
        <w:rPr>
          <w:rFonts w:hint="default" w:ascii="Times New Roman" w:hAnsi="Times New Roman" w:eastAsia="宋体" w:cs="Times New Roman"/>
          <w:sz w:val="28"/>
          <w:szCs w:val="28"/>
        </w:rPr>
        <w:t>万元，其中环保投资</w:t>
      </w:r>
      <w:r>
        <w:rPr>
          <w:rFonts w:hint="eastAsia" w:cs="Times New Roman"/>
          <w:sz w:val="28"/>
          <w:szCs w:val="28"/>
          <w:lang w:val="en-US" w:eastAsia="zh-CN"/>
        </w:rPr>
        <w:t>20</w:t>
      </w:r>
      <w:r>
        <w:rPr>
          <w:rFonts w:hint="default" w:ascii="Times New Roman" w:hAnsi="Times New Roman" w:eastAsia="宋体" w:cs="Times New Roman"/>
          <w:sz w:val="28"/>
          <w:szCs w:val="28"/>
        </w:rPr>
        <w:t>万元。占总投资</w:t>
      </w:r>
      <w:r>
        <w:rPr>
          <w:rFonts w:hint="eastAsia" w:cs="Times New Roman"/>
          <w:sz w:val="28"/>
          <w:szCs w:val="28"/>
          <w:lang w:val="en-US" w:eastAsia="zh-CN"/>
        </w:rPr>
        <w:t>3</w:t>
      </w:r>
      <w:r>
        <w:rPr>
          <w:rFonts w:hint="default" w:ascii="Times New Roman" w:hAnsi="Times New Roman" w:eastAsia="宋体" w:cs="Times New Roman"/>
          <w:sz w:val="28"/>
          <w:szCs w:val="28"/>
        </w:rPr>
        <w:t>％。</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（四）验收范围</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本次验收的范围为</w:t>
      </w:r>
      <w:r>
        <w:rPr>
          <w:rFonts w:hint="eastAsia" w:cs="Times New Roman"/>
          <w:sz w:val="28"/>
          <w:szCs w:val="28"/>
          <w:lang w:eastAsia="zh-CN"/>
        </w:rPr>
        <w:t>年生产</w:t>
      </w:r>
      <w:r>
        <w:rPr>
          <w:rFonts w:hint="default" w:ascii="Times New Roman" w:hAnsi="Times New Roman" w:eastAsia="宋体" w:cs="Times New Roman"/>
          <w:sz w:val="28"/>
          <w:szCs w:val="28"/>
        </w:rPr>
        <w:t>卡簧100万套、冲压件50万套、高端轴承保持器18000万套、偏心套&amp;锁紧套500万套以及精密轴承2000万套</w:t>
      </w:r>
      <w:r>
        <w:rPr>
          <w:rFonts w:hint="default" w:ascii="Times New Roman" w:hAnsi="Times New Roman" w:eastAsia="宋体" w:cs="Times New Roman"/>
          <w:sz w:val="28"/>
          <w:szCs w:val="28"/>
          <w:lang w:val="en-US" w:eastAsia="zh-CN"/>
        </w:rPr>
        <w:t>生产设备</w:t>
      </w:r>
      <w:r>
        <w:rPr>
          <w:rFonts w:hint="default" w:ascii="Times New Roman" w:hAnsi="Times New Roman" w:eastAsia="宋体" w:cs="Times New Roman"/>
          <w:sz w:val="28"/>
          <w:szCs w:val="28"/>
        </w:rPr>
        <w:t>及其配套环保设施。</w:t>
      </w:r>
    </w:p>
    <w:p>
      <w:pPr>
        <w:tabs>
          <w:tab w:val="left" w:pos="420"/>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二、工程变更情况</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zh-CN"/>
        </w:rPr>
        <w:t>通过现场调查，对照环评报告及审批意见，环评中4根排气筒，实际验收期间焊接废气</w:t>
      </w:r>
      <w:r>
        <w:rPr>
          <w:rFonts w:hint="eastAsia" w:cs="Times New Roman"/>
          <w:sz w:val="28"/>
          <w:szCs w:val="28"/>
          <w:lang w:val="zh-CN"/>
        </w:rPr>
        <w:t>经焊烟净化器处理，未设</w:t>
      </w:r>
      <w:r>
        <w:rPr>
          <w:rFonts w:hint="default" w:ascii="Times New Roman" w:hAnsi="Times New Roman" w:eastAsia="宋体" w:cs="Times New Roman"/>
          <w:sz w:val="28"/>
          <w:szCs w:val="28"/>
          <w:lang w:val="zh-CN"/>
        </w:rPr>
        <w:t>排气筒</w:t>
      </w:r>
      <w:r>
        <w:rPr>
          <w:rFonts w:hint="eastAsia" w:cs="Times New Roman"/>
          <w:sz w:val="28"/>
          <w:szCs w:val="28"/>
          <w:lang w:val="zh-CN"/>
        </w:rPr>
        <w:t>。</w:t>
      </w:r>
      <w:r>
        <w:rPr>
          <w:rFonts w:hint="default" w:ascii="Times New Roman" w:hAnsi="Times New Roman" w:eastAsia="宋体" w:cs="Times New Roman"/>
          <w:sz w:val="28"/>
          <w:szCs w:val="28"/>
          <w:lang w:val="zh-CN"/>
        </w:rPr>
        <w:t>该项目地点、生产工艺</w:t>
      </w:r>
      <w:r>
        <w:rPr>
          <w:rFonts w:hint="default" w:ascii="Times New Roman" w:hAnsi="Times New Roman" w:eastAsia="宋体" w:cs="Times New Roman"/>
          <w:sz w:val="28"/>
          <w:szCs w:val="28"/>
        </w:rPr>
        <w:t>无变更。根据环境保护部办公厅环办[2015]52号文，该项目无重大变更。</w:t>
      </w:r>
    </w:p>
    <w:p>
      <w:pPr>
        <w:pStyle w:val="9"/>
        <w:numPr>
          <w:ilvl w:val="0"/>
          <w:numId w:val="0"/>
        </w:numPr>
        <w:spacing w:line="360" w:lineRule="auto"/>
        <w:ind w:leftChars="349" w:right="504" w:rightChars="240"/>
        <w:jc w:val="left"/>
        <w:rPr>
          <w:rFonts w:hint="default" w:ascii="Times New Roman" w:hAnsi="Times New Roman" w:eastAsia="宋体" w:cs="Times New Roman"/>
          <w:sz w:val="28"/>
          <w:szCs w:val="28"/>
        </w:rPr>
      </w:pPr>
      <w:r>
        <w:rPr>
          <w:rFonts w:hint="eastAsia" w:cs="Times New Roman"/>
          <w:sz w:val="28"/>
          <w:szCs w:val="28"/>
          <w:lang w:eastAsia="zh-CN"/>
        </w:rPr>
        <w:t>三、</w:t>
      </w:r>
      <w:r>
        <w:rPr>
          <w:rFonts w:hint="default" w:ascii="Times New Roman" w:hAnsi="Times New Roman" w:eastAsia="宋体" w:cs="Times New Roman"/>
          <w:sz w:val="28"/>
          <w:szCs w:val="28"/>
        </w:rPr>
        <w:t>环境保护设施落实情况</w:t>
      </w:r>
    </w:p>
    <w:p>
      <w:pPr>
        <w:pStyle w:val="9"/>
        <w:spacing w:beforeLines="50" w:line="360" w:lineRule="auto"/>
        <w:ind w:left="420" w:leftChars="200" w:right="504" w:rightChars="240" w:firstLine="417" w:firstLineChars="14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（一）废水污染源及其治理措施</w:t>
      </w:r>
    </w:p>
    <w:p>
      <w:pPr>
        <w:widowControl/>
        <w:spacing w:line="360" w:lineRule="auto"/>
        <w:ind w:left="420" w:leftChars="200" w:right="504" w:rightChars="240" w:firstLine="417" w:firstLineChars="149"/>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项目无生产废水产生，本项目废水主要为生活污水，项目生活污水排入市政管网，经聊城高新国环污水处理有限公司处理后达标排放。</w:t>
      </w:r>
    </w:p>
    <w:p>
      <w:pPr>
        <w:widowControl/>
        <w:spacing w:line="360" w:lineRule="auto"/>
        <w:ind w:left="420" w:leftChars="200" w:right="504" w:rightChars="240" w:firstLine="417" w:firstLineChars="149"/>
        <w:jc w:val="left"/>
        <w:rPr>
          <w:rFonts w:hint="default" w:ascii="Times New Roman" w:hAnsi="Times New Roman" w:eastAsia="宋体" w:cs="Times New Roman"/>
          <w:kern w:val="2"/>
          <w:sz w:val="28"/>
          <w:szCs w:val="28"/>
          <w:lang w:val="en-US" w:eastAsia="zh-CN" w:bidi="ar-SA"/>
        </w:rPr>
      </w:pPr>
      <w:r>
        <w:rPr>
          <w:rFonts w:hint="default" w:ascii="Times New Roman" w:hAnsi="Times New Roman" w:eastAsia="宋体" w:cs="Times New Roman"/>
          <w:kern w:val="2"/>
          <w:sz w:val="28"/>
          <w:szCs w:val="28"/>
          <w:lang w:val="en-US" w:eastAsia="zh-CN" w:bidi="ar-SA"/>
        </w:rPr>
        <w:t>（二）废气污染源及其治理措施</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项目产生的废气主要为清洗防锈废气、浸塑废气、抛丸废气、焊接废气。</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（1）清洗防锈废气采用“密闭区域+集气罩+静电油雾净化器”处理后，通过1根15m高的排气筒（P1）排放。</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（2）项目风电轴承保持器浸塑工序采用天然气作为燃料，浸塑流程为上工件、预热、浸塑、固化、下工件，产生天然气燃烧废气、浸塑粉尘及固化废气。</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浸塑废气：主要为浸塑粉尘经自带过滤装置+布袋除尘器处理后，通过1根15m高的排气筒（P2）排放；天然气燃烧废气：采用低氮燃烧机处理后由1根15米高排气筒排放（P2）排放；</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固化工序产生少量挥发性有机废气VOC</w:t>
      </w:r>
      <w:r>
        <w:rPr>
          <w:rFonts w:hint="eastAsia" w:cs="Times New Roman"/>
          <w:snapToGrid w:val="0"/>
          <w:kern w:val="0"/>
          <w:sz w:val="28"/>
          <w:szCs w:val="28"/>
          <w:lang w:val="en-US" w:eastAsia="zh-CN"/>
        </w:rPr>
        <w:t>s</w:t>
      </w:r>
      <w:r>
        <w:rPr>
          <w:rFonts w:hint="default" w:ascii="Times New Roman" w:hAnsi="Times New Roman" w:eastAsia="宋体" w:cs="Times New Roman"/>
          <w:snapToGrid w:val="0"/>
          <w:kern w:val="0"/>
          <w:sz w:val="28"/>
          <w:szCs w:val="28"/>
          <w:lang w:val="en-US" w:eastAsia="zh-CN"/>
        </w:rPr>
        <w:t>（以非甲烷总烃计），固化废气引入吸附浓缩催化燃烧装置+UV光氧净化设备置+活性炭吸附装处理后通过排气筒（P2）排放。</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（3）抛丸废气，主要为粉尘，经自带除尘器处理后通过1根15m高的排气筒（P3）排放。</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未能收集处理的少部分废气通过车间通风换气，以无组织方式排放。焊接烟尘经移动焊烟净化器处理，少量未被收集的废气通过车间通风换气，以无组织方式排放。</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（三）噪声</w:t>
      </w:r>
    </w:p>
    <w:p>
      <w:p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rPr>
      </w:pPr>
      <w:r>
        <w:rPr>
          <w:rFonts w:hint="default" w:ascii="Times New Roman" w:hAnsi="Times New Roman" w:eastAsia="宋体" w:cs="Times New Roman"/>
          <w:snapToGrid w:val="0"/>
          <w:kern w:val="0"/>
          <w:sz w:val="28"/>
          <w:szCs w:val="28"/>
          <w:lang w:val="en-US" w:eastAsia="zh-CN"/>
        </w:rPr>
        <w:t xml:space="preserve">项目噪声主要来源于钻床、数控车床、车床等设备运行产生的噪声。企业通过选取低噪声设备，对设备安装减振基础、生产时封闭厂房等措施，减轻设备运转噪声对周围环境的影响。 </w:t>
      </w:r>
    </w:p>
    <w:p>
      <w:pPr>
        <w:spacing w:line="360" w:lineRule="auto"/>
        <w:ind w:left="420" w:leftChars="200" w:right="504" w:rightChars="240" w:firstLine="417" w:firstLineChars="149"/>
        <w:jc w:val="left"/>
        <w:rPr>
          <w:rFonts w:hint="default" w:ascii="Times New Roman" w:hAnsi="Times New Roman" w:eastAsia="宋体" w:cs="Times New Roman"/>
          <w:sz w:val="28"/>
          <w:szCs w:val="28"/>
          <w:lang w:eastAsia="zh-CN"/>
        </w:rPr>
      </w:pPr>
      <w:r>
        <w:rPr>
          <w:rFonts w:hint="default" w:ascii="Times New Roman" w:hAnsi="Times New Roman" w:eastAsia="宋体" w:cs="Times New Roman"/>
          <w:sz w:val="28"/>
          <w:szCs w:val="28"/>
        </w:rPr>
        <w:t>（四）固体废物</w:t>
      </w:r>
    </w:p>
    <w:p>
      <w:pPr>
        <w:pStyle w:val="2"/>
        <w:spacing w:line="360" w:lineRule="auto"/>
        <w:ind w:left="420" w:leftChars="200" w:right="504" w:rightChars="240" w:firstLine="417" w:firstLineChars="149"/>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本项目产生的固体废物主要是不合格产品、下角料、废润滑油、废磨削液、废活性炭、废包装桶及员工办公生活垃圾。</w:t>
      </w:r>
    </w:p>
    <w:p>
      <w:pPr>
        <w:pStyle w:val="2"/>
        <w:spacing w:line="360" w:lineRule="auto"/>
        <w:ind w:left="420" w:leftChars="200" w:right="504" w:rightChars="240" w:firstLine="417" w:firstLineChars="149"/>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根据现场调查，项目产生的不合格产品、下角料属于一般固废收集后外售处理。职工生活垃圾由环卫部门统一收集清运。</w:t>
      </w:r>
    </w:p>
    <w:p>
      <w:pPr>
        <w:pStyle w:val="2"/>
        <w:spacing w:line="360" w:lineRule="auto"/>
        <w:ind w:left="420" w:leftChars="200" w:right="504" w:rightChars="240" w:firstLine="417" w:firstLineChars="149"/>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废润滑油、废磨削液、废活性炭、废包装桶等均为危险废物，产生后暂存危废暂存间内，并委托山东聚鼎瑞环保科技有限公司处置。</w:t>
      </w:r>
    </w:p>
    <w:p>
      <w:pPr>
        <w:pStyle w:val="9"/>
        <w:numPr>
          <w:ilvl w:val="0"/>
          <w:numId w:val="0"/>
        </w:numPr>
        <w:spacing w:line="360" w:lineRule="auto"/>
        <w:ind w:left="420" w:leftChars="200" w:right="504" w:rightChars="240" w:firstLine="417" w:firstLineChars="149"/>
        <w:jc w:val="left"/>
        <w:rPr>
          <w:rFonts w:hint="default" w:ascii="Times New Roman" w:hAnsi="Times New Roman" w:eastAsia="宋体" w:cs="Times New Roman"/>
          <w:snapToGrid w:val="0"/>
          <w:kern w:val="0"/>
          <w:sz w:val="28"/>
          <w:szCs w:val="28"/>
          <w:lang w:val="en-US" w:eastAsia="zh-CN" w:bidi="ar-SA"/>
        </w:rPr>
      </w:pPr>
      <w:r>
        <w:rPr>
          <w:rFonts w:hint="default" w:ascii="Times New Roman" w:hAnsi="Times New Roman" w:eastAsia="宋体" w:cs="Times New Roman"/>
          <w:snapToGrid w:val="0"/>
          <w:kern w:val="0"/>
          <w:sz w:val="28"/>
          <w:szCs w:val="28"/>
          <w:lang w:val="en-US" w:eastAsia="zh-CN" w:bidi="ar-SA"/>
        </w:rPr>
        <w:t>四、验收监测结果</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（一）环保设施运行检测结果</w:t>
      </w:r>
    </w:p>
    <w:p>
      <w:pPr>
        <w:widowControl/>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eastAsia" w:cs="Times New Roman"/>
          <w:sz w:val="28"/>
          <w:szCs w:val="28"/>
          <w:lang w:eastAsia="zh-CN"/>
        </w:rPr>
        <w:t>国衡环境监测有限公司</w:t>
      </w:r>
      <w:r>
        <w:rPr>
          <w:rFonts w:hint="default" w:ascii="Times New Roman" w:hAnsi="Times New Roman" w:eastAsia="宋体" w:cs="Times New Roman"/>
          <w:sz w:val="28"/>
          <w:szCs w:val="28"/>
        </w:rPr>
        <w:t>出具的</w:t>
      </w:r>
      <w:r>
        <w:rPr>
          <w:rFonts w:hint="default" w:ascii="Times New Roman" w:hAnsi="Times New Roman" w:eastAsia="宋体" w:cs="Times New Roman"/>
          <w:b w:val="0"/>
          <w:bCs w:val="0"/>
          <w:sz w:val="28"/>
          <w:szCs w:val="28"/>
        </w:rPr>
        <w:t>《</w:t>
      </w:r>
      <w:r>
        <w:rPr>
          <w:rFonts w:hint="eastAsia" w:cs="Times New Roman"/>
          <w:b w:val="0"/>
          <w:bCs w:val="0"/>
          <w:sz w:val="28"/>
          <w:szCs w:val="28"/>
          <w:lang w:val="en-US" w:eastAsia="zh-CN"/>
        </w:rPr>
        <w:t>山东意吉希精密制造有限公司高端装备零部件产业化建设项目</w:t>
      </w:r>
      <w:r>
        <w:rPr>
          <w:rFonts w:hint="default" w:ascii="Times New Roman" w:hAnsi="Times New Roman" w:eastAsia="宋体" w:cs="Times New Roman"/>
          <w:sz w:val="28"/>
          <w:szCs w:val="28"/>
        </w:rPr>
        <w:t>竣工环境保护验收监测报告》监测结果表明：</w:t>
      </w:r>
    </w:p>
    <w:p>
      <w:pPr>
        <w:numPr>
          <w:ilvl w:val="0"/>
          <w:numId w:val="1"/>
        </w:num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废水</w:t>
      </w:r>
    </w:p>
    <w:p>
      <w:pPr>
        <w:ind w:left="420" w:leftChars="200" w:right="504" w:rightChars="240" w:firstLine="417" w:firstLineChars="149"/>
        <w:rPr>
          <w:rFonts w:hint="default" w:ascii="Times New Roman" w:hAnsi="Times New Roman" w:eastAsia="宋体" w:cs="Times New Roman"/>
          <w:b w:val="0"/>
          <w:bCs w:val="0"/>
          <w:color w:val="000000"/>
          <w:sz w:val="28"/>
          <w:szCs w:val="28"/>
          <w:lang w:val="en-US" w:eastAsia="zh-CN"/>
        </w:rPr>
      </w:pPr>
      <w:r>
        <w:rPr>
          <w:rFonts w:hint="default" w:ascii="Times New Roman" w:hAnsi="Times New Roman" w:eastAsia="宋体" w:cs="Times New Roman"/>
          <w:sz w:val="28"/>
          <w:szCs w:val="28"/>
        </w:rPr>
        <w:t>验收监测期间，</w:t>
      </w:r>
      <w:r>
        <w:rPr>
          <w:rFonts w:hint="default" w:ascii="Times New Roman" w:hAnsi="Times New Roman" w:eastAsia="宋体" w:cs="Times New Roman"/>
          <w:kern w:val="0"/>
          <w:sz w:val="28"/>
          <w:szCs w:val="28"/>
        </w:rPr>
        <w:t>pH检测值在</w:t>
      </w:r>
      <w:r>
        <w:rPr>
          <w:rFonts w:hint="default" w:ascii="Times New Roman" w:hAnsi="Times New Roman" w:eastAsia="宋体" w:cs="Times New Roman"/>
          <w:sz w:val="28"/>
          <w:szCs w:val="28"/>
        </w:rPr>
        <w:t>7.16~8.27之间，氨氮的平均排放浓度为0.505mg/L； COD</w:t>
      </w:r>
      <w:r>
        <w:rPr>
          <w:rFonts w:hint="default" w:ascii="Times New Roman" w:hAnsi="Times New Roman" w:eastAsia="宋体" w:cs="Times New Roman"/>
          <w:sz w:val="28"/>
          <w:szCs w:val="28"/>
          <w:vertAlign w:val="subscript"/>
        </w:rPr>
        <w:t>cr</w:t>
      </w:r>
      <w:r>
        <w:rPr>
          <w:rFonts w:hint="default" w:ascii="Times New Roman" w:hAnsi="Times New Roman" w:eastAsia="宋体" w:cs="Times New Roman"/>
          <w:sz w:val="28"/>
          <w:szCs w:val="28"/>
        </w:rPr>
        <w:t>的平均排放浓度为28mg/L；SS的平均排放浓度为9mg/L；满足污水排入城镇下水道水质标准》（GB/T31962-2015）B 等级标准及聊城高新国环污水处理厂进水水质要求</w:t>
      </w:r>
      <w:r>
        <w:rPr>
          <w:rFonts w:hint="default" w:ascii="Times New Roman" w:hAnsi="Times New Roman" w:eastAsia="宋体" w:cs="Times New Roman"/>
          <w:sz w:val="28"/>
          <w:szCs w:val="28"/>
          <w:lang w:val="en-US" w:eastAsia="zh-CN"/>
        </w:rPr>
        <w:t>。</w:t>
      </w:r>
    </w:p>
    <w:p>
      <w:pPr>
        <w:numPr>
          <w:ilvl w:val="0"/>
          <w:numId w:val="2"/>
        </w:num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废气</w:t>
      </w:r>
    </w:p>
    <w:p>
      <w:pPr>
        <w:snapToGrid w:val="0"/>
        <w:spacing w:line="360" w:lineRule="auto"/>
        <w:ind w:left="420" w:leftChars="200" w:right="504" w:rightChars="240" w:firstLine="420" w:firstLineChars="150"/>
        <w:jc w:val="both"/>
        <w:rPr>
          <w:rFonts w:hint="default" w:ascii="Times New Roman" w:hAnsi="Times New Roman" w:eastAsia="宋体" w:cs="Times New Roman"/>
          <w:color w:val="000000" w:themeColor="text1"/>
          <w:sz w:val="28"/>
          <w:szCs w:val="28"/>
          <w14:textFill>
            <w14:solidFill>
              <w14:schemeClr w14:val="tx1"/>
            </w14:solidFill>
          </w14:textFill>
        </w:rPr>
      </w:pPr>
      <w:r>
        <w:rPr>
          <w:rFonts w:hint="default" w:ascii="Times New Roman" w:hAnsi="Times New Roman" w:eastAsia="宋体" w:cs="Times New Roman"/>
          <w:color w:val="000000" w:themeColor="text1"/>
          <w:sz w:val="28"/>
          <w:szCs w:val="28"/>
          <w14:textFill>
            <w14:solidFill>
              <w14:schemeClr w14:val="tx1"/>
            </w14:solidFill>
          </w14:textFill>
        </w:rPr>
        <w:t>验收监测期间，有组织废气P1排气筒出口VOC</w:t>
      </w:r>
      <w:r>
        <w:rPr>
          <w:rFonts w:hint="default" w:ascii="Times New Roman" w:hAnsi="Times New Roman" w:eastAsia="宋体" w:cs="Times New Roman"/>
          <w:color w:val="000000" w:themeColor="text1"/>
          <w:sz w:val="28"/>
          <w:szCs w:val="28"/>
          <w:vertAlign w:val="subscript"/>
          <w14:textFill>
            <w14:solidFill>
              <w14:schemeClr w14:val="tx1"/>
            </w14:solidFill>
          </w14:textFill>
        </w:rPr>
        <w:t>S</w:t>
      </w:r>
      <w:r>
        <w:rPr>
          <w:rFonts w:hint="default" w:ascii="Times New Roman" w:hAnsi="Times New Roman" w:eastAsia="宋体" w:cs="Times New Roman"/>
          <w:color w:val="000000" w:themeColor="text1"/>
          <w:sz w:val="28"/>
          <w:szCs w:val="28"/>
          <w14:textFill>
            <w14:solidFill>
              <w14:schemeClr w14:val="tx1"/>
            </w14:solidFill>
          </w14:textFill>
        </w:rPr>
        <w:t>最大排放浓度为11.1mg/m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，最大排放速率为0.14 kg/h，P2排气筒出口VOC</w:t>
      </w:r>
      <w:r>
        <w:rPr>
          <w:rFonts w:hint="default" w:ascii="Times New Roman" w:hAnsi="Times New Roman" w:eastAsia="宋体" w:cs="Times New Roman"/>
          <w:color w:val="000000" w:themeColor="text1"/>
          <w:sz w:val="28"/>
          <w:szCs w:val="28"/>
          <w:vertAlign w:val="subscript"/>
          <w14:textFill>
            <w14:solidFill>
              <w14:schemeClr w14:val="tx1"/>
            </w14:solidFill>
          </w14:textFill>
        </w:rPr>
        <w:t>S</w:t>
      </w:r>
      <w:r>
        <w:rPr>
          <w:rFonts w:hint="default" w:ascii="Times New Roman" w:hAnsi="Times New Roman" w:eastAsia="宋体" w:cs="Times New Roman"/>
          <w:color w:val="000000" w:themeColor="text1"/>
          <w:sz w:val="28"/>
          <w:szCs w:val="28"/>
          <w14:textFill>
            <w14:solidFill>
              <w14:schemeClr w14:val="tx1"/>
            </w14:solidFill>
          </w14:textFill>
        </w:rPr>
        <w:t>最大排放浓度为11.1mg/m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，最大排放速率为0.12 kg/h，排放浓度、排放速率均满足《挥发性有机物排放标准 第7部分:其他行业》（DB37/2801.7-2019）表1中Ⅱ时段的排放限值。P2排气筒出口颗粒物最大排放浓度为5.6mg/m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，最大排放速率为0.058kg/h，二氧化硫未检出，氮氧化物最大排放浓度为9mg/m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，最大排放速率为0.091kg/h；P3排气筒出口颗粒物最大排放浓度为8.9mg/m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，最大排放速率为0.041kg/h，</w:t>
      </w:r>
      <w:r>
        <w:rPr>
          <w:rFonts w:hint="default" w:ascii="Times New Roman" w:hAnsi="Times New Roman" w:eastAsia="宋体" w:cs="Times New Roman"/>
          <w:sz w:val="28"/>
          <w:szCs w:val="28"/>
        </w:rPr>
        <w:t>排放浓度均满足《区域性大气污染物综合排放标准》（DB37/2376-2019）表1中重点控制区排放浓度限值；排放速率均满足《大气污染物综合排放标准》（GB16297-1996）表2中二级排放限值</w:t>
      </w:r>
      <w:r>
        <w:rPr>
          <w:rFonts w:hint="default" w:ascii="Times New Roman" w:hAnsi="Times New Roman" w:eastAsia="宋体" w:cs="Times New Roman"/>
          <w:color w:val="000000" w:themeColor="text1"/>
          <w:sz w:val="28"/>
          <w:szCs w:val="28"/>
          <w14:textFill>
            <w14:solidFill>
              <w14:schemeClr w14:val="tx1"/>
            </w14:solidFill>
          </w14:textFill>
        </w:rPr>
        <w:t>。</w:t>
      </w:r>
    </w:p>
    <w:p>
      <w:pPr>
        <w:spacing w:line="360" w:lineRule="auto"/>
        <w:ind w:left="420" w:leftChars="200" w:right="504" w:rightChars="240" w:firstLine="420" w:firstLineChars="15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themeColor="text1"/>
          <w:sz w:val="28"/>
          <w:szCs w:val="28"/>
          <w14:textFill>
            <w14:solidFill>
              <w14:schemeClr w14:val="tx1"/>
            </w14:solidFill>
          </w14:textFill>
        </w:rPr>
        <w:t>厂界无组织VOC</w:t>
      </w:r>
      <w:r>
        <w:rPr>
          <w:rFonts w:hint="default" w:ascii="Times New Roman" w:hAnsi="Times New Roman" w:eastAsia="宋体" w:cs="Times New Roman"/>
          <w:color w:val="000000" w:themeColor="text1"/>
          <w:sz w:val="28"/>
          <w:szCs w:val="28"/>
          <w:vertAlign w:val="subscript"/>
          <w14:textFill>
            <w14:solidFill>
              <w14:schemeClr w14:val="tx1"/>
            </w14:solidFill>
          </w14:textFill>
        </w:rPr>
        <w:t>S</w:t>
      </w:r>
      <w:r>
        <w:rPr>
          <w:rFonts w:hint="default" w:ascii="Times New Roman" w:hAnsi="Times New Roman" w:eastAsia="宋体" w:cs="Times New Roman"/>
          <w:color w:val="000000" w:themeColor="text1"/>
          <w:sz w:val="28"/>
          <w:szCs w:val="28"/>
          <w14:textFill>
            <w14:solidFill>
              <w14:schemeClr w14:val="tx1"/>
            </w14:solidFill>
          </w14:textFill>
        </w:rPr>
        <w:t>最大排放浓度为1.99mg/m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，满足《挥发性有机物排放标准 第7部分:其他行业》（DB37/2801.7-2019）表2厂界监控点浓度限值，厂界无组织颗粒物的最大浓度为0.375mg/m</w:t>
      </w:r>
      <w:r>
        <w:rPr>
          <w:rFonts w:hint="default" w:ascii="Times New Roman" w:hAnsi="Times New Roman" w:eastAsia="宋体" w:cs="Times New Roman"/>
          <w:color w:val="000000" w:themeColor="text1"/>
          <w:sz w:val="28"/>
          <w:szCs w:val="28"/>
          <w:vertAlign w:val="superscript"/>
          <w14:textFill>
            <w14:solidFill>
              <w14:schemeClr w14:val="tx1"/>
            </w14:solidFill>
          </w14:textFill>
        </w:rPr>
        <w:t>3</w:t>
      </w:r>
      <w:r>
        <w:rPr>
          <w:rFonts w:hint="default" w:ascii="Times New Roman" w:hAnsi="Times New Roman" w:eastAsia="宋体" w:cs="Times New Roman"/>
          <w:color w:val="000000" w:themeColor="text1"/>
          <w:sz w:val="28"/>
          <w:szCs w:val="28"/>
          <w14:textFill>
            <w14:solidFill>
              <w14:schemeClr w14:val="tx1"/>
            </w14:solidFill>
          </w14:textFill>
        </w:rPr>
        <w:t>，《大气污染物综合排放标准》（GB16297-1996）表2中无组织排放限值要求</w:t>
      </w:r>
      <w:r>
        <w:rPr>
          <w:rFonts w:hint="default" w:ascii="Times New Roman" w:hAnsi="Times New Roman" w:eastAsia="宋体" w:cs="Times New Roman"/>
          <w:sz w:val="28"/>
          <w:szCs w:val="28"/>
          <w:lang w:val="en-US" w:eastAsia="zh-CN"/>
        </w:rPr>
        <w:t>。</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val="en-US" w:eastAsia="zh-CN"/>
        </w:rPr>
        <w:t>3</w:t>
      </w:r>
      <w:r>
        <w:rPr>
          <w:rFonts w:hint="default" w:ascii="Times New Roman" w:hAnsi="Times New Roman" w:eastAsia="宋体" w:cs="Times New Roman"/>
          <w:sz w:val="28"/>
          <w:szCs w:val="28"/>
        </w:rPr>
        <w:t>. 噪声</w:t>
      </w:r>
    </w:p>
    <w:p>
      <w:pPr>
        <w:spacing w:beforeLines="50" w:line="360" w:lineRule="auto"/>
        <w:ind w:left="420" w:leftChars="200" w:right="504" w:rightChars="240" w:firstLine="417" w:firstLineChars="149"/>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验收监测期间，东、南、西、北厂界昼间噪声值范围在57.9~59.5dB（A）之间，能够满足《工业企业厂界环境噪声排放标准》（GB12348-2008）中的3类标准要求。</w:t>
      </w:r>
    </w:p>
    <w:p>
      <w:pPr>
        <w:numPr>
          <w:ilvl w:val="0"/>
          <w:numId w:val="3"/>
        </w:numPr>
        <w:spacing w:line="360" w:lineRule="auto"/>
        <w:ind w:left="420" w:leftChars="200" w:right="504" w:rightChars="240" w:firstLine="417" w:firstLineChars="149"/>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beforeLines="50" w:line="360" w:lineRule="auto"/>
        <w:ind w:left="420" w:leftChars="200" w:right="504" w:rightChars="240" w:firstLine="417" w:firstLineChars="149"/>
        <w:rPr>
          <w:rFonts w:hint="default" w:ascii="Times New Roman" w:hAnsi="Times New Roman" w:eastAsia="宋体" w:cs="Times New Roman"/>
          <w:sz w:val="28"/>
          <w:szCs w:val="28"/>
        </w:rPr>
      </w:pPr>
      <w:r>
        <w:rPr>
          <w:rFonts w:hint="eastAsia" w:cs="Times New Roman"/>
          <w:sz w:val="28"/>
          <w:szCs w:val="28"/>
          <w:lang w:val="en-US" w:eastAsia="zh-CN"/>
        </w:rPr>
        <w:t>详见上文三、（四）</w:t>
      </w:r>
      <w:r>
        <w:rPr>
          <w:rFonts w:hint="default" w:ascii="Times New Roman" w:hAnsi="Times New Roman" w:eastAsia="宋体" w:cs="Times New Roman"/>
          <w:sz w:val="28"/>
          <w:szCs w:val="28"/>
          <w:lang w:val="en-US" w:eastAsia="zh-CN"/>
        </w:rPr>
        <w:t>。</w:t>
      </w:r>
    </w:p>
    <w:p>
      <w:pPr>
        <w:spacing w:beforeLines="50" w:line="360" w:lineRule="auto"/>
        <w:ind w:left="420" w:leftChars="200" w:right="504" w:rightChars="240" w:firstLine="417" w:firstLineChars="149"/>
        <w:rPr>
          <w:rFonts w:hint="default" w:ascii="Times New Roman" w:hAnsi="Times New Roman" w:eastAsia="宋体" w:cs="Times New Roman"/>
          <w:color w:val="000000"/>
          <w:sz w:val="28"/>
          <w:szCs w:val="28"/>
        </w:rPr>
      </w:pPr>
      <w:r>
        <w:rPr>
          <w:rFonts w:hint="default" w:ascii="Times New Roman" w:hAnsi="Times New Roman" w:eastAsia="宋体" w:cs="Times New Roman"/>
          <w:color w:val="000000"/>
          <w:sz w:val="28"/>
          <w:szCs w:val="28"/>
        </w:rPr>
        <w:t>（二）环境管理调查</w:t>
      </w:r>
    </w:p>
    <w:p>
      <w:pPr>
        <w:spacing w:line="360" w:lineRule="auto"/>
        <w:ind w:left="420" w:leftChars="200" w:right="504" w:rightChars="240" w:firstLine="417" w:firstLineChars="149"/>
        <w:rPr>
          <w:rFonts w:hint="default" w:ascii="Times New Roman" w:hAnsi="Times New Roman" w:eastAsia="宋体" w:cs="Times New Roman"/>
          <w:color w:val="000000"/>
          <w:sz w:val="28"/>
          <w:szCs w:val="28"/>
        </w:rPr>
      </w:pPr>
      <w:r>
        <w:rPr>
          <w:rFonts w:hint="eastAsia" w:cs="Times New Roman"/>
          <w:sz w:val="28"/>
          <w:szCs w:val="36"/>
          <w:lang w:eastAsia="zh-CN"/>
        </w:rPr>
        <w:t>山东意吉希精密制造有限公司</w:t>
      </w:r>
      <w:r>
        <w:rPr>
          <w:rFonts w:hint="default" w:ascii="Times New Roman" w:hAnsi="Times New Roman" w:eastAsia="宋体" w:cs="Times New Roman"/>
          <w:color w:val="000000"/>
          <w:sz w:val="28"/>
          <w:szCs w:val="28"/>
        </w:rPr>
        <w:t>制定了《</w:t>
      </w:r>
      <w:r>
        <w:rPr>
          <w:rFonts w:hint="eastAsia" w:cs="Times New Roman"/>
          <w:sz w:val="28"/>
          <w:szCs w:val="36"/>
          <w:lang w:eastAsia="zh-CN"/>
        </w:rPr>
        <w:t>山东意吉希精密制造有限公司</w:t>
      </w:r>
      <w:r>
        <w:rPr>
          <w:rFonts w:hint="default" w:ascii="Times New Roman" w:hAnsi="Times New Roman" w:eastAsia="宋体" w:cs="Times New Roman"/>
          <w:color w:val="000000"/>
          <w:sz w:val="28"/>
          <w:szCs w:val="28"/>
        </w:rPr>
        <w:t>环保管理制度》</w:t>
      </w:r>
      <w:r>
        <w:rPr>
          <w:rFonts w:hint="default" w:ascii="Times New Roman" w:hAnsi="Times New Roman" w:eastAsia="宋体" w:cs="Times New Roman"/>
          <w:color w:val="000000"/>
          <w:sz w:val="28"/>
          <w:szCs w:val="28"/>
          <w:lang w:eastAsia="zh-CN"/>
        </w:rPr>
        <w:t>，</w:t>
      </w:r>
      <w:r>
        <w:rPr>
          <w:rFonts w:hint="default" w:ascii="Times New Roman" w:hAnsi="Times New Roman" w:eastAsia="宋体" w:cs="Times New Roman"/>
          <w:color w:val="000000"/>
          <w:sz w:val="28"/>
          <w:szCs w:val="28"/>
        </w:rPr>
        <w:t>并设立了相关机构。日常工作由</w:t>
      </w:r>
      <w:r>
        <w:rPr>
          <w:rFonts w:hint="eastAsia" w:cs="Times New Roman"/>
          <w:color w:val="000000"/>
          <w:sz w:val="28"/>
          <w:szCs w:val="28"/>
          <w:lang w:eastAsia="zh-CN"/>
        </w:rPr>
        <w:t>办公室</w:t>
      </w:r>
      <w:r>
        <w:rPr>
          <w:rFonts w:hint="default" w:ascii="Times New Roman" w:hAnsi="Times New Roman" w:eastAsia="宋体" w:cs="Times New Roman"/>
          <w:color w:val="000000"/>
          <w:sz w:val="28"/>
          <w:szCs w:val="28"/>
        </w:rPr>
        <w:t>管理，其主要职责是：行使公司环保工作的计划、组织、指挥、协调、检查和考核管理职能，日常一切工作须对公司负责。</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五、专家意见：</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在今后企业环保工作中，建议企业落实以下要求。</w:t>
      </w:r>
    </w:p>
    <w:p>
      <w:pPr>
        <w:pStyle w:val="5"/>
        <w:numPr>
          <w:ilvl w:val="0"/>
          <w:numId w:val="4"/>
        </w:numPr>
        <w:ind w:left="420" w:leftChars="200" w:right="504" w:rightChars="240" w:firstLine="417" w:firstLineChars="14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防锈工序集气罩应加垂帘、集气管道进一步密闭，加大废气收集效率；</w:t>
      </w:r>
    </w:p>
    <w:p>
      <w:pPr>
        <w:pStyle w:val="5"/>
        <w:numPr>
          <w:ilvl w:val="0"/>
          <w:numId w:val="4"/>
        </w:numPr>
        <w:ind w:left="420" w:leftChars="200" w:right="504" w:rightChars="240" w:firstLine="417" w:firstLineChars="14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防锈区域避免跑冒滴漏，保持地面清洁；</w:t>
      </w:r>
    </w:p>
    <w:p>
      <w:pPr>
        <w:pStyle w:val="5"/>
        <w:numPr>
          <w:ilvl w:val="0"/>
          <w:numId w:val="4"/>
        </w:numPr>
        <w:ind w:left="420" w:leftChars="200" w:right="504" w:rightChars="240" w:firstLine="417" w:firstLineChars="14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南车间与其他项目合用，应设置明显的标识；</w:t>
      </w:r>
    </w:p>
    <w:p>
      <w:pPr>
        <w:pStyle w:val="5"/>
        <w:numPr>
          <w:ilvl w:val="0"/>
          <w:numId w:val="4"/>
        </w:numPr>
        <w:ind w:left="420" w:leftChars="200" w:right="504" w:rightChars="240" w:firstLine="417" w:firstLineChars="149"/>
        <w:rPr>
          <w:rFonts w:hint="default" w:ascii="Times New Roman" w:hAnsi="Times New Roman" w:eastAsia="宋体" w:cs="Times New Roman"/>
          <w:sz w:val="28"/>
          <w:szCs w:val="28"/>
          <w:lang w:val="en-US" w:eastAsia="zh-CN"/>
        </w:rPr>
      </w:pPr>
      <w:r>
        <w:rPr>
          <w:rFonts w:hint="eastAsia" w:ascii="Times New Roman" w:hAnsi="Times New Roman" w:cs="Times New Roman"/>
          <w:sz w:val="28"/>
          <w:szCs w:val="28"/>
          <w:lang w:val="en-US" w:eastAsia="zh-CN"/>
        </w:rPr>
        <w:t>进一步核实设备数量，进一步完善验收报告有关内容。</w:t>
      </w:r>
    </w:p>
    <w:p>
      <w:pPr>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lang w:eastAsia="zh-CN"/>
        </w:rPr>
        <w:t>六</w:t>
      </w:r>
      <w:r>
        <w:rPr>
          <w:rFonts w:hint="default" w:ascii="Times New Roman" w:hAnsi="Times New Roman" w:eastAsia="宋体" w:cs="Times New Roman"/>
          <w:sz w:val="28"/>
          <w:szCs w:val="28"/>
        </w:rPr>
        <w:t>、验收结论</w:t>
      </w:r>
    </w:p>
    <w:p>
      <w:pPr>
        <w:spacing w:line="360" w:lineRule="auto"/>
        <w:ind w:left="420" w:leftChars="200" w:right="504" w:rightChars="240" w:firstLine="417" w:firstLineChars="149"/>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420" w:leftChars="200" w:right="504" w:rightChars="240" w:firstLine="417" w:firstLineChars="149"/>
        <w:jc w:val="lef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鉴于项目符合国家和地方相关产业标准及准入要求，用地符合当地规划，环保设施与生产配套，验收期间各项监测指标</w:t>
      </w:r>
      <w:bookmarkStart w:id="0" w:name="_GoBack"/>
      <w:bookmarkEnd w:id="0"/>
      <w:r>
        <w:rPr>
          <w:rFonts w:hint="default" w:ascii="Times New Roman" w:hAnsi="Times New Roman" w:eastAsia="宋体" w:cs="Times New Roman"/>
          <w:sz w:val="28"/>
          <w:szCs w:val="28"/>
        </w:rPr>
        <w:t>满足国家相关排放标准，该项目通过环保验收。</w:t>
      </w:r>
    </w:p>
    <w:p>
      <w:pPr>
        <w:spacing w:line="360" w:lineRule="auto"/>
        <w:ind w:left="420" w:leftChars="200" w:right="504" w:rightChars="240" w:firstLine="417" w:firstLineChars="149"/>
        <w:jc w:val="righ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p>
    <w:p>
      <w:pPr>
        <w:spacing w:line="360" w:lineRule="auto"/>
        <w:ind w:left="420" w:leftChars="200" w:right="504" w:rightChars="240" w:firstLine="417" w:firstLineChars="149"/>
        <w:jc w:val="right"/>
        <w:rPr>
          <w:rFonts w:hint="default" w:ascii="Times New Roman" w:hAnsi="Times New Roman" w:eastAsia="宋体" w:cs="Times New Roman"/>
          <w:sz w:val="28"/>
          <w:szCs w:val="28"/>
        </w:rPr>
      </w:pPr>
    </w:p>
    <w:p>
      <w:pPr>
        <w:spacing w:line="360" w:lineRule="auto"/>
        <w:ind w:left="420" w:leftChars="200" w:right="504" w:rightChars="240" w:firstLine="417" w:firstLineChars="149"/>
        <w:jc w:val="right"/>
        <w:rPr>
          <w:rFonts w:hint="default" w:ascii="Times New Roman" w:hAnsi="Times New Roman" w:eastAsia="宋体" w:cs="Times New Roman"/>
          <w:sz w:val="28"/>
          <w:szCs w:val="28"/>
        </w:rPr>
      </w:pPr>
      <w:r>
        <w:rPr>
          <w:rFonts w:hint="default" w:ascii="Times New Roman" w:hAnsi="Times New Roman" w:eastAsia="宋体" w:cs="Times New Roman"/>
          <w:sz w:val="28"/>
          <w:szCs w:val="28"/>
        </w:rPr>
        <w:t xml:space="preserve">    </w:t>
      </w:r>
      <w:r>
        <w:rPr>
          <w:rFonts w:hint="eastAsia" w:cs="Times New Roman"/>
          <w:sz w:val="28"/>
          <w:szCs w:val="36"/>
          <w:lang w:eastAsia="zh-CN"/>
        </w:rPr>
        <w:t>山东意吉希精密制造有限公司</w:t>
      </w:r>
      <w:r>
        <w:rPr>
          <w:rFonts w:hint="default" w:ascii="Times New Roman" w:hAnsi="Times New Roman" w:eastAsia="宋体" w:cs="Times New Roman"/>
          <w:sz w:val="28"/>
          <w:szCs w:val="28"/>
        </w:rPr>
        <w:t>验收组</w:t>
      </w:r>
    </w:p>
    <w:p>
      <w:pPr>
        <w:spacing w:line="360" w:lineRule="auto"/>
        <w:ind w:left="420" w:leftChars="200" w:right="504" w:rightChars="240" w:firstLine="417" w:firstLineChars="149"/>
        <w:jc w:val="right"/>
        <w:rPr>
          <w:rFonts w:hint="default" w:ascii="Times New Roman" w:hAnsi="Times New Roman" w:eastAsia="宋体" w:cs="Times New Roman"/>
          <w:lang w:eastAsia="zh-CN"/>
        </w:rPr>
      </w:pPr>
      <w:r>
        <w:rPr>
          <w:rFonts w:hint="default" w:ascii="Times New Roman" w:hAnsi="Times New Roman" w:eastAsia="宋体" w:cs="Times New Roman"/>
          <w:sz w:val="28"/>
          <w:szCs w:val="28"/>
        </w:rPr>
        <w:t xml:space="preserve">                            </w:t>
      </w:r>
      <w:r>
        <w:rPr>
          <w:rFonts w:hint="default" w:ascii="Times New Roman" w:hAnsi="Times New Roman" w:eastAsia="宋体" w:cs="Times New Roman"/>
          <w:sz w:val="28"/>
          <w:szCs w:val="28"/>
          <w:highlight w:val="none"/>
        </w:rPr>
        <w:t xml:space="preserve">    201</w:t>
      </w:r>
      <w:r>
        <w:rPr>
          <w:rFonts w:hint="eastAsia" w:cs="Times New Roman"/>
          <w:sz w:val="28"/>
          <w:szCs w:val="28"/>
          <w:highlight w:val="none"/>
          <w:lang w:val="en-US" w:eastAsia="zh-CN"/>
        </w:rPr>
        <w:t>9</w:t>
      </w:r>
      <w:r>
        <w:rPr>
          <w:rFonts w:hint="default" w:ascii="Times New Roman" w:hAnsi="Times New Roman" w:eastAsia="宋体" w:cs="Times New Roman"/>
          <w:sz w:val="28"/>
          <w:szCs w:val="28"/>
          <w:highlight w:val="none"/>
        </w:rPr>
        <w:t>年</w:t>
      </w:r>
      <w:r>
        <w:rPr>
          <w:rFonts w:hint="eastAsia" w:cs="Times New Roman"/>
          <w:sz w:val="28"/>
          <w:szCs w:val="28"/>
          <w:highlight w:val="none"/>
          <w:lang w:val="en-US" w:eastAsia="zh-CN"/>
        </w:rPr>
        <w:t>12</w:t>
      </w:r>
      <w:r>
        <w:rPr>
          <w:rFonts w:hint="default" w:ascii="Times New Roman" w:hAnsi="Times New Roman" w:eastAsia="宋体" w:cs="Times New Roman"/>
          <w:sz w:val="28"/>
          <w:szCs w:val="28"/>
          <w:highlight w:val="none"/>
        </w:rPr>
        <w:t>月</w:t>
      </w:r>
      <w:r>
        <w:rPr>
          <w:rFonts w:hint="eastAsia" w:cs="Times New Roman"/>
          <w:sz w:val="28"/>
          <w:szCs w:val="28"/>
          <w:highlight w:val="none"/>
          <w:lang w:val="en-US" w:eastAsia="zh-CN"/>
        </w:rPr>
        <w:t>13</w:t>
      </w:r>
      <w:r>
        <w:rPr>
          <w:rFonts w:hint="default" w:ascii="Times New Roman" w:hAnsi="Times New Roman" w:eastAsia="宋体" w:cs="Times New Roman"/>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705220E"/>
    <w:rsid w:val="0A775B6C"/>
    <w:rsid w:val="0BB105F9"/>
    <w:rsid w:val="0BCD78E3"/>
    <w:rsid w:val="0BD4352F"/>
    <w:rsid w:val="110D6D4E"/>
    <w:rsid w:val="13242E95"/>
    <w:rsid w:val="13C97717"/>
    <w:rsid w:val="16D20B22"/>
    <w:rsid w:val="18675679"/>
    <w:rsid w:val="18D05E89"/>
    <w:rsid w:val="19BD6A9B"/>
    <w:rsid w:val="1AAF6CA7"/>
    <w:rsid w:val="1E3F12C6"/>
    <w:rsid w:val="26B564F3"/>
    <w:rsid w:val="27420539"/>
    <w:rsid w:val="286B6E9D"/>
    <w:rsid w:val="2BFB35B9"/>
    <w:rsid w:val="2E3B0222"/>
    <w:rsid w:val="31572BC2"/>
    <w:rsid w:val="39D31BFF"/>
    <w:rsid w:val="39D9507A"/>
    <w:rsid w:val="3B2962D5"/>
    <w:rsid w:val="3C614E95"/>
    <w:rsid w:val="42D02360"/>
    <w:rsid w:val="440B2C50"/>
    <w:rsid w:val="45B12AB5"/>
    <w:rsid w:val="4ECF6D4B"/>
    <w:rsid w:val="516D3DB9"/>
    <w:rsid w:val="52082039"/>
    <w:rsid w:val="520B1012"/>
    <w:rsid w:val="56DD1623"/>
    <w:rsid w:val="5F0C4CFF"/>
    <w:rsid w:val="65826A80"/>
    <w:rsid w:val="66FB5067"/>
    <w:rsid w:val="6A4209DB"/>
    <w:rsid w:val="6AB12CAA"/>
    <w:rsid w:val="6ABA50EB"/>
    <w:rsid w:val="6B892AA7"/>
    <w:rsid w:val="6DEB0CC4"/>
    <w:rsid w:val="6E620EC2"/>
    <w:rsid w:val="76A7225A"/>
    <w:rsid w:val="77930543"/>
    <w:rsid w:val="7E121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unhideWhenUsed/>
    <w:qFormat/>
    <w:uiPriority w:val="99"/>
    <w:rPr>
      <w:rFonts w:ascii="宋体" w:hAnsi="Courier New" w:cs="Courier New"/>
      <w:szCs w:val="21"/>
    </w:rPr>
  </w:style>
  <w:style w:type="table" w:styleId="8">
    <w:name w:val="Table Grid"/>
    <w:basedOn w:val="7"/>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styleId="9">
    <w:name w:val="List Paragraph"/>
    <w:basedOn w:val="1"/>
    <w:qFormat/>
    <w:uiPriority w:val="99"/>
    <w:pPr>
      <w:ind w:firstLine="420" w:firstLineChars="200"/>
    </w:pPr>
  </w:style>
  <w:style w:type="paragraph" w:customStyle="1" w:styleId="10">
    <w:name w:val="Default"/>
    <w:qFormat/>
    <w:uiPriority w:val="0"/>
    <w:pPr>
      <w:widowControl w:val="0"/>
      <w:autoSpaceDE w:val="0"/>
      <w:autoSpaceDN w:val="0"/>
      <w:adjustRightInd w:val="0"/>
    </w:pPr>
    <w:rPr>
      <w:rFonts w:ascii="Times New Roman" w:hAnsi="Times New Roman" w:cs="Times New Roman" w:eastAsiaTheme="minorEastAsia"/>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Office_10.1.0.6929_F1E327BC-269C-435d-A152-05C5408002CA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2019-12-13T09:12:24Z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2052-10.1.0.6929</vt:lpwstr>
  </property>
</Properties>
</file>