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jc w:val="center"/>
        <w:rPr>
          <w:rFonts w:hint="eastAsia" w:cs="Times New Roman"/>
          <w:b/>
          <w:color w:val="auto"/>
          <w:sz w:val="32"/>
          <w:szCs w:val="32"/>
          <w:lang w:val="en-US" w:eastAsia="zh-CN"/>
        </w:rPr>
      </w:pPr>
      <w:r>
        <w:rPr>
          <w:rFonts w:hint="eastAsia" w:cs="Times New Roman"/>
          <w:b/>
          <w:color w:val="auto"/>
          <w:sz w:val="32"/>
          <w:szCs w:val="32"/>
          <w:lang w:val="en-US" w:eastAsia="zh-CN"/>
        </w:rPr>
        <w:t>聊城市开发区鑫龙冲压件厂年加工2000吨机械配件项目</w:t>
      </w:r>
    </w:p>
    <w:p>
      <w:pPr>
        <w:tabs>
          <w:tab w:val="left" w:pos="220"/>
        </w:tabs>
        <w:spacing w:line="360" w:lineRule="auto"/>
        <w:jc w:val="center"/>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eastAsia" w:cs="Times New Roman"/>
          <w:color w:val="auto"/>
          <w:sz w:val="28"/>
          <w:szCs w:val="28"/>
          <w:highlight w:val="none"/>
          <w:lang w:val="en-US" w:eastAsia="zh-CN"/>
        </w:rPr>
        <w:t>2020</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12</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eastAsia" w:cs="Times New Roman"/>
          <w:color w:val="auto"/>
          <w:sz w:val="28"/>
          <w:szCs w:val="28"/>
          <w:lang w:val="en-US" w:eastAsia="zh-CN"/>
        </w:rPr>
        <w:t>聊城市开发区鑫龙冲压件厂</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年加工2000吨机械配件项目</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聊城市开发区鑫龙冲压件厂</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eastAsia="zh-CN"/>
        </w:rPr>
        <w:t>聊城市开发区鑫龙机械配件厂，法定代表人朱洪臣，公司位于山东聊城经济开发区蒋官屯办事处侯庄村。项目总投资</w:t>
      </w:r>
      <w:r>
        <w:rPr>
          <w:rFonts w:hint="default" w:ascii="Times New Roman" w:hAnsi="Times New Roman" w:eastAsia="宋体" w:cs="Times New Roman"/>
          <w:color w:val="auto"/>
          <w:sz w:val="28"/>
          <w:szCs w:val="28"/>
          <w:lang w:val="en-US" w:eastAsia="zh-CN"/>
        </w:rPr>
        <w:t>10万</w:t>
      </w:r>
      <w:r>
        <w:rPr>
          <w:rFonts w:hint="default" w:ascii="Times New Roman" w:hAnsi="Times New Roman" w:eastAsia="宋体" w:cs="Times New Roman"/>
          <w:color w:val="auto"/>
          <w:sz w:val="28"/>
          <w:szCs w:val="28"/>
          <w:lang w:eastAsia="zh-CN"/>
        </w:rPr>
        <w:t>元，总占地面积</w:t>
      </w:r>
      <w:r>
        <w:rPr>
          <w:rFonts w:hint="default" w:ascii="Times New Roman" w:hAnsi="Times New Roman" w:eastAsia="宋体" w:cs="Times New Roman"/>
          <w:color w:val="auto"/>
          <w:sz w:val="28"/>
          <w:szCs w:val="28"/>
          <w:lang w:val="en-US" w:eastAsia="zh-CN"/>
        </w:rPr>
        <w:t>1000m</w:t>
      </w:r>
      <w:r>
        <w:rPr>
          <w:rFonts w:hint="default" w:ascii="Times New Roman" w:hAnsi="Times New Roman" w:eastAsia="宋体" w:cs="Times New Roman"/>
          <w:color w:val="auto"/>
          <w:sz w:val="28"/>
          <w:szCs w:val="28"/>
          <w:vertAlign w:val="superscript"/>
          <w:lang w:val="en-US" w:eastAsia="zh-CN"/>
        </w:rPr>
        <w:t>2</w:t>
      </w:r>
      <w:r>
        <w:rPr>
          <w:rFonts w:hint="default" w:ascii="Times New Roman" w:hAnsi="Times New Roman" w:eastAsia="宋体" w:cs="Times New Roman"/>
          <w:color w:val="auto"/>
          <w:sz w:val="28"/>
          <w:szCs w:val="28"/>
          <w:lang w:val="en-US" w:eastAsia="zh-CN"/>
        </w:rPr>
        <w:t>，购置冲床等设备，项目原料为铁片，利用冲床冲孔生产出相对应规格的冲压配件，最后入库待售，</w:t>
      </w:r>
      <w:r>
        <w:rPr>
          <w:rFonts w:hint="default" w:ascii="Times New Roman" w:hAnsi="Times New Roman" w:eastAsia="宋体" w:cs="Times New Roman"/>
          <w:color w:val="auto"/>
          <w:sz w:val="28"/>
          <w:szCs w:val="28"/>
          <w:lang w:eastAsia="zh-CN"/>
        </w:rPr>
        <w:t>生产规模为</w:t>
      </w:r>
      <w:r>
        <w:rPr>
          <w:rFonts w:hint="default" w:ascii="Times New Roman" w:hAnsi="Times New Roman" w:eastAsia="宋体" w:cs="Times New Roman"/>
          <w:color w:val="auto"/>
          <w:sz w:val="28"/>
          <w:szCs w:val="28"/>
          <w:lang w:val="en-US" w:eastAsia="zh-CN"/>
        </w:rPr>
        <w:t>年加工2000吨机械配件</w:t>
      </w:r>
      <w:r>
        <w:rPr>
          <w:rFonts w:hint="default" w:ascii="Times New Roman" w:hAnsi="Times New Roman" w:eastAsia="宋体" w:cs="Times New Roman"/>
          <w:color w:val="auto"/>
          <w:sz w:val="28"/>
          <w:szCs w:val="28"/>
          <w:lang w:eastAsia="zh-CN"/>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未批先建。2017年8月聊城市开发区鑫龙机械配件厂委托聊城大学编制了《聊城市开发区鑫龙机械配件厂年加工2000吨机械配件项目环境影响报告表》，2017年9月20日聊城市环境保护局经济技术开发区分局以聊开环报告表[2017]477号对其进行了审批。2020年1月公司委托山东聊和环保科技有限公司进行该项目的环保验收监测工作，接受委托后山东聊和环保科技有限公司组织有关技术人员进行现场踏勘，依据监测技术规范制定了环保验收监测方案，并于2020年01月10日-11日对该企业进行了验收监测，根据验收监测结果和现场检查情况编制了本项目验收监测报告。</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项目实际总投资</w:t>
      </w:r>
      <w:r>
        <w:rPr>
          <w:rFonts w:hint="eastAsia" w:cs="Times New Roman"/>
          <w:color w:val="auto"/>
          <w:sz w:val="28"/>
          <w:szCs w:val="28"/>
          <w:lang w:val="en-US" w:eastAsia="zh-CN"/>
        </w:rPr>
        <w:t>10</w:t>
      </w:r>
      <w:r>
        <w:rPr>
          <w:rFonts w:hint="default"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1</w:t>
      </w:r>
      <w:r>
        <w:rPr>
          <w:rFonts w:hint="default" w:ascii="Times New Roman" w:hAnsi="Times New Roman" w:eastAsia="宋体" w:cs="Times New Roman"/>
          <w:color w:val="auto"/>
          <w:sz w:val="28"/>
          <w:szCs w:val="28"/>
        </w:rPr>
        <w:t>万元。占总投资</w:t>
      </w:r>
      <w:r>
        <w:rPr>
          <w:rFonts w:hint="eastAsia" w:cs="Times New Roman"/>
          <w:color w:val="auto"/>
          <w:sz w:val="28"/>
          <w:szCs w:val="28"/>
          <w:lang w:val="en-US" w:eastAsia="zh-CN"/>
        </w:rPr>
        <w:t>10</w:t>
      </w:r>
      <w:r>
        <w:rPr>
          <w:rFonts w:hint="default" w:ascii="Times New Roman" w:hAnsi="Times New Roman" w:eastAsia="宋体" w:cs="Times New Roman"/>
          <w:color w:val="auto"/>
          <w:sz w:val="28"/>
          <w:szCs w:val="28"/>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eastAsia" w:cs="Times New Roman"/>
          <w:color w:val="auto"/>
          <w:sz w:val="28"/>
          <w:szCs w:val="28"/>
          <w:lang w:val="en-US" w:eastAsia="zh-CN"/>
        </w:rPr>
        <w:t>年加工2000吨机械配件</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通过现场调查，对照环评报告及审批意见，生产性质、生产规模、生产地点、生产工艺及环保设施均无明显变动，根据《关于印发环评管理中部分行业建设项目重大变动清单的通知》环办[2015]52号，项目不涉及重大变更</w:t>
      </w:r>
      <w:r>
        <w:rPr>
          <w:rFonts w:hint="default" w:ascii="Times New Roman" w:hAnsi="Times New Roman" w:eastAsia="宋体" w:cs="Times New Roman"/>
          <w:color w:val="auto"/>
          <w:sz w:val="28"/>
          <w:szCs w:val="28"/>
        </w:rPr>
        <w:t>。</w:t>
      </w:r>
    </w:p>
    <w:p>
      <w:pPr>
        <w:pStyle w:val="9"/>
        <w:numPr>
          <w:ilvl w:val="0"/>
          <w:numId w:val="1"/>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环境保护设施落实情况</w:t>
      </w:r>
    </w:p>
    <w:p>
      <w:pPr>
        <w:pStyle w:val="9"/>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（一）废水污染源及其治理措施</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项目废水主要是职工生活污水，经旱厕收集后定期清运肥田，不外排。</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项目无生产废气。</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项目噪声主要是冲床在冲孔的过程中产生的噪声，项目区内优化平面布置，选用低噪声设备，对车间采取隔音、减震处理等措施，降低对外环境的影响。 </w:t>
      </w:r>
    </w:p>
    <w:p>
      <w:pPr>
        <w:spacing w:line="360" w:lineRule="auto"/>
        <w:ind w:left="233" w:leftChars="111" w:firstLine="604" w:firstLineChars="216"/>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本项目固体废物主要是下脚料和生活垃圾。下脚料外售综合利用；生活垃圾委托环卫部门清运。</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聊城市开发区鑫龙冲压件厂年加工2000吨机械配件项目</w:t>
      </w:r>
      <w:r>
        <w:rPr>
          <w:rFonts w:hint="default" w:ascii="Times New Roman" w:hAnsi="Times New Roman" w:eastAsia="宋体" w:cs="Times New Roman"/>
          <w:color w:val="auto"/>
          <w:sz w:val="28"/>
          <w:szCs w:val="28"/>
        </w:rPr>
        <w:t>竣工环境保护验收监测报告》监测结果表明：</w:t>
      </w:r>
    </w:p>
    <w:p>
      <w:pPr>
        <w:numPr>
          <w:ilvl w:val="0"/>
          <w:numId w:val="2"/>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spacing w:line="360" w:lineRule="auto"/>
        <w:ind w:left="233" w:leftChars="111" w:firstLine="604" w:firstLineChars="216"/>
        <w:rPr>
          <w:rFonts w:hint="default" w:ascii="Times New Roman" w:hAnsi="Times New Roman" w:eastAsia="宋体" w:cs="Times New Roman"/>
          <w:b w:val="0"/>
          <w:bCs w:val="0"/>
          <w:color w:val="auto"/>
          <w:sz w:val="28"/>
          <w:szCs w:val="28"/>
          <w:lang w:val="en-US" w:eastAsia="zh-CN"/>
        </w:rPr>
      </w:pPr>
      <w:r>
        <w:rPr>
          <w:rFonts w:hint="eastAsia" w:cs="Times New Roman"/>
          <w:color w:val="auto"/>
          <w:sz w:val="28"/>
          <w:szCs w:val="28"/>
          <w:lang w:val="en-US" w:eastAsia="zh-CN"/>
        </w:rPr>
        <w:t>同上文三、（一）</w:t>
      </w:r>
      <w:r>
        <w:rPr>
          <w:rFonts w:hint="default" w:ascii="Times New Roman" w:hAnsi="Times New Roman" w:eastAsia="宋体" w:cs="Times New Roman"/>
          <w:color w:val="auto"/>
          <w:sz w:val="28"/>
          <w:szCs w:val="28"/>
          <w:lang w:val="en-US" w:eastAsia="zh-CN"/>
        </w:rPr>
        <w:t>。</w:t>
      </w:r>
    </w:p>
    <w:p>
      <w:pPr>
        <w:numPr>
          <w:ilvl w:val="0"/>
          <w:numId w:val="3"/>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eastAsia" w:cs="Times New Roman"/>
          <w:color w:val="auto"/>
          <w:sz w:val="28"/>
          <w:szCs w:val="28"/>
          <w:lang w:val="en-US" w:eastAsia="zh-CN"/>
        </w:rPr>
        <w:t>同上文三、（二）</w:t>
      </w:r>
      <w:r>
        <w:rPr>
          <w:rFonts w:hint="default" w:ascii="Times New Roman" w:hAnsi="Times New Roman" w:eastAsia="宋体" w:cs="Times New Roman"/>
          <w:color w:val="auto"/>
          <w:sz w:val="28"/>
          <w:szCs w:val="28"/>
          <w:lang w:val="en-US" w:eastAsia="zh-CN"/>
        </w:rPr>
        <w:t>。</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spacing w:line="360" w:lineRule="auto"/>
        <w:ind w:left="216" w:leftChars="103" w:firstLine="560" w:firstLineChars="200"/>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验收监测期间，监测点位昼间噪声在56.1-57.8(dB)之间，夜间不生产，符合《工业企业厂界环境噪声排放标准》（GB12348－2008）中的2类标准要求。</w:t>
      </w:r>
    </w:p>
    <w:p>
      <w:pPr>
        <w:numPr>
          <w:ilvl w:val="0"/>
          <w:numId w:val="4"/>
        </w:num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val="zh-CN" w:eastAsia="zh-CN"/>
        </w:rPr>
        <w:t>同上文三、（四）</w:t>
      </w:r>
      <w:r>
        <w:rPr>
          <w:rFonts w:hint="default" w:ascii="Times New Roman" w:hAnsi="Times New Roman" w:eastAsia="宋体" w:cs="Times New Roman"/>
          <w:color w:val="auto"/>
          <w:sz w:val="28"/>
          <w:szCs w:val="28"/>
        </w:rPr>
        <w:t>。</w:t>
      </w:r>
    </w:p>
    <w:p>
      <w:pPr>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eastAsia="zh-CN"/>
        </w:rPr>
        <w:t>聊城市开发区鑫龙冲压件厂</w:t>
      </w:r>
      <w:r>
        <w:rPr>
          <w:rFonts w:hint="default" w:ascii="Times New Roman" w:hAnsi="Times New Roman" w:eastAsia="宋体" w:cs="Times New Roman"/>
          <w:color w:val="auto"/>
          <w:sz w:val="28"/>
          <w:szCs w:val="28"/>
        </w:rPr>
        <w:t>制定了《</w:t>
      </w:r>
      <w:r>
        <w:rPr>
          <w:rFonts w:hint="eastAsia" w:cs="Times New Roman"/>
          <w:color w:val="auto"/>
          <w:sz w:val="28"/>
          <w:szCs w:val="28"/>
          <w:lang w:eastAsia="zh-CN"/>
        </w:rPr>
        <w:t>聊城市开发区鑫龙冲压件厂</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eastAsia"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5"/>
        <w:numPr>
          <w:ilvl w:val="0"/>
          <w:numId w:val="5"/>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进一步封闭车间，降低噪声对外环境的影响。</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鉴于项目符合国家和地方相关产业标准及准入要求，用地符合当地规划，环保设施与生产配套，验收期间各项监测指标满足国家相关排放标准，</w:t>
      </w:r>
      <w:bookmarkStart w:id="0" w:name="_GoBack"/>
      <w:bookmarkEnd w:id="0"/>
      <w:r>
        <w:rPr>
          <w:rFonts w:hint="default" w:ascii="Times New Roman" w:hAnsi="Times New Roman" w:eastAsia="宋体" w:cs="Times New Roman"/>
          <w:color w:val="auto"/>
          <w:sz w:val="28"/>
          <w:szCs w:val="28"/>
        </w:rPr>
        <w:t>该项目通过环保验收。</w:t>
      </w:r>
    </w:p>
    <w:p>
      <w:pPr>
        <w:spacing w:line="360" w:lineRule="auto"/>
        <w:ind w:left="233" w:leftChars="111" w:firstLine="604" w:firstLineChars="216"/>
        <w:jc w:val="right"/>
        <w:rPr>
          <w:rFonts w:hint="default" w:ascii="Times New Roman" w:hAnsi="Times New Roman" w:eastAsia="宋体" w:cs="Times New Roman"/>
          <w:color w:val="auto"/>
          <w:sz w:val="28"/>
          <w:szCs w:val="28"/>
        </w:rPr>
      </w:pPr>
    </w:p>
    <w:p>
      <w:pPr>
        <w:spacing w:line="360" w:lineRule="auto"/>
        <w:ind w:left="233" w:leftChars="111" w:firstLine="604" w:firstLineChars="216"/>
        <w:jc w:val="right"/>
        <w:rPr>
          <w:rFonts w:hint="default" w:ascii="Times New Roman" w:hAnsi="Times New Roman" w:eastAsia="宋体" w:cs="Times New Roman"/>
          <w:color w:val="auto"/>
          <w:sz w:val="28"/>
          <w:szCs w:val="28"/>
        </w:rPr>
      </w:pPr>
      <w:r>
        <w:rPr>
          <w:rFonts w:hint="eastAsia" w:cs="Times New Roman"/>
          <w:color w:val="auto"/>
          <w:sz w:val="28"/>
          <w:szCs w:val="28"/>
          <w:lang w:eastAsia="zh-CN"/>
        </w:rPr>
        <w:t>聊城市开发区鑫龙冲压件厂</w:t>
      </w:r>
      <w:r>
        <w:rPr>
          <w:rFonts w:hint="default" w:ascii="Times New Roman" w:hAnsi="Times New Roman" w:eastAsia="宋体" w:cs="Times New Roman"/>
          <w:color w:val="auto"/>
          <w:sz w:val="28"/>
          <w:szCs w:val="28"/>
        </w:rPr>
        <w:t>验收组</w:t>
      </w:r>
    </w:p>
    <w:p>
      <w:pPr>
        <w:spacing w:line="360" w:lineRule="auto"/>
        <w:ind w:left="233" w:leftChars="111" w:firstLine="604" w:firstLineChars="216"/>
        <w:jc w:val="right"/>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w:t>
      </w:r>
      <w:r>
        <w:rPr>
          <w:rFonts w:hint="eastAsia" w:cs="Times New Roman"/>
          <w:color w:val="auto"/>
          <w:sz w:val="28"/>
          <w:szCs w:val="28"/>
          <w:highlight w:val="none"/>
          <w:lang w:val="en-US" w:eastAsia="zh-CN"/>
        </w:rPr>
        <w:t>20</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12</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A775B6C"/>
    <w:rsid w:val="0BB105F9"/>
    <w:rsid w:val="0BCD78E3"/>
    <w:rsid w:val="0BD4352F"/>
    <w:rsid w:val="0D002E61"/>
    <w:rsid w:val="0E9F521D"/>
    <w:rsid w:val="110D6D4E"/>
    <w:rsid w:val="13242E95"/>
    <w:rsid w:val="168D080A"/>
    <w:rsid w:val="17073D8B"/>
    <w:rsid w:val="188E6607"/>
    <w:rsid w:val="18D05E89"/>
    <w:rsid w:val="19BD6A9B"/>
    <w:rsid w:val="1AAF6CA7"/>
    <w:rsid w:val="1B753DC5"/>
    <w:rsid w:val="1DCD1CD5"/>
    <w:rsid w:val="1E9D1B02"/>
    <w:rsid w:val="20F95110"/>
    <w:rsid w:val="21E62141"/>
    <w:rsid w:val="23253252"/>
    <w:rsid w:val="24DD3549"/>
    <w:rsid w:val="27420539"/>
    <w:rsid w:val="27776D4F"/>
    <w:rsid w:val="284C33EF"/>
    <w:rsid w:val="286B6E9D"/>
    <w:rsid w:val="2A636C42"/>
    <w:rsid w:val="2BD129D7"/>
    <w:rsid w:val="2BFB35B9"/>
    <w:rsid w:val="2C8345D6"/>
    <w:rsid w:val="2DD941F5"/>
    <w:rsid w:val="2DE61E9D"/>
    <w:rsid w:val="2E594393"/>
    <w:rsid w:val="31572BC2"/>
    <w:rsid w:val="33E80446"/>
    <w:rsid w:val="35A21894"/>
    <w:rsid w:val="35CA7C00"/>
    <w:rsid w:val="371221B6"/>
    <w:rsid w:val="3B2962D5"/>
    <w:rsid w:val="3B9345B4"/>
    <w:rsid w:val="3C495586"/>
    <w:rsid w:val="3C614E95"/>
    <w:rsid w:val="3D216C63"/>
    <w:rsid w:val="3D481CA9"/>
    <w:rsid w:val="42115E1E"/>
    <w:rsid w:val="425A3055"/>
    <w:rsid w:val="42D02360"/>
    <w:rsid w:val="42ED0B8D"/>
    <w:rsid w:val="440B2C50"/>
    <w:rsid w:val="45B12AB5"/>
    <w:rsid w:val="4BC32318"/>
    <w:rsid w:val="4D966CB6"/>
    <w:rsid w:val="51603323"/>
    <w:rsid w:val="52082039"/>
    <w:rsid w:val="520B1012"/>
    <w:rsid w:val="56DD1623"/>
    <w:rsid w:val="5B994AD0"/>
    <w:rsid w:val="5BB97A85"/>
    <w:rsid w:val="5C705EEE"/>
    <w:rsid w:val="5D580A9C"/>
    <w:rsid w:val="5F0C4CFF"/>
    <w:rsid w:val="602A22C2"/>
    <w:rsid w:val="64C4763E"/>
    <w:rsid w:val="65826A80"/>
    <w:rsid w:val="66FB5067"/>
    <w:rsid w:val="6A4209DB"/>
    <w:rsid w:val="6ABA50EB"/>
    <w:rsid w:val="6DEB0CC4"/>
    <w:rsid w:val="6E620EC2"/>
    <w:rsid w:val="724713C7"/>
    <w:rsid w:val="72964393"/>
    <w:rsid w:val="72C90F73"/>
    <w:rsid w:val="73223BF6"/>
    <w:rsid w:val="7593546D"/>
    <w:rsid w:val="75C3338A"/>
    <w:rsid w:val="76AB541C"/>
    <w:rsid w:val="77930543"/>
    <w:rsid w:val="7F330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2020-01-15T02:26:41Z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