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20"/>
        </w:tabs>
        <w:spacing w:line="360" w:lineRule="auto"/>
        <w:jc w:val="center"/>
        <w:rPr>
          <w:rFonts w:hint="eastAsia" w:cs="Times New Roman"/>
          <w:b/>
          <w:color w:val="auto"/>
          <w:sz w:val="32"/>
          <w:szCs w:val="32"/>
          <w:lang w:val="en-US" w:eastAsia="zh-CN"/>
        </w:rPr>
      </w:pPr>
      <w:r>
        <w:rPr>
          <w:rFonts w:hint="eastAsia" w:cs="Times New Roman"/>
          <w:b/>
          <w:color w:val="auto"/>
          <w:sz w:val="32"/>
          <w:szCs w:val="32"/>
          <w:lang w:val="en-US" w:eastAsia="zh-CN"/>
        </w:rPr>
        <w:t>山东省阳谷县宏信包装有限公司年产800吨钎具项目（一期）</w:t>
      </w:r>
    </w:p>
    <w:p>
      <w:pPr>
        <w:tabs>
          <w:tab w:val="left" w:pos="220"/>
        </w:tabs>
        <w:spacing w:line="360" w:lineRule="auto"/>
        <w:jc w:val="center"/>
        <w:rPr>
          <w:rFonts w:hint="default" w:ascii="Times New Roman" w:hAnsi="Times New Roman" w:eastAsia="宋体" w:cs="Times New Roman"/>
          <w:b/>
          <w:color w:val="auto"/>
          <w:sz w:val="32"/>
          <w:szCs w:val="32"/>
        </w:rPr>
      </w:pPr>
      <w:r>
        <w:rPr>
          <w:rFonts w:hint="default" w:ascii="Times New Roman" w:hAnsi="Times New Roman" w:eastAsia="宋体" w:cs="Times New Roman"/>
          <w:b/>
          <w:color w:val="auto"/>
          <w:sz w:val="32"/>
          <w:szCs w:val="32"/>
          <w:lang w:val="en-US" w:eastAsia="zh-CN"/>
        </w:rPr>
        <w:t>竣工</w:t>
      </w:r>
      <w:r>
        <w:rPr>
          <w:rFonts w:hint="default" w:ascii="Times New Roman" w:hAnsi="Times New Roman" w:eastAsia="宋体" w:cs="Times New Roman"/>
          <w:b/>
          <w:color w:val="auto"/>
          <w:sz w:val="32"/>
          <w:szCs w:val="32"/>
        </w:rPr>
        <w:t>环境保护验收现场检查及验收工作组验收意见</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eastAsia" w:cs="Times New Roman"/>
          <w:color w:val="auto"/>
          <w:sz w:val="28"/>
          <w:szCs w:val="28"/>
          <w:highlight w:val="none"/>
          <w:lang w:val="en-US" w:eastAsia="zh-CN"/>
        </w:rPr>
        <w:t>2019</w:t>
      </w:r>
      <w:r>
        <w:rPr>
          <w:rFonts w:hint="default" w:ascii="Times New Roman" w:hAnsi="Times New Roman" w:eastAsia="宋体" w:cs="Times New Roman"/>
          <w:color w:val="auto"/>
          <w:sz w:val="28"/>
          <w:szCs w:val="28"/>
          <w:highlight w:val="none"/>
        </w:rPr>
        <w:t>年</w:t>
      </w:r>
      <w:r>
        <w:rPr>
          <w:rFonts w:hint="eastAsia" w:cs="Times New Roman"/>
          <w:color w:val="auto"/>
          <w:sz w:val="28"/>
          <w:szCs w:val="28"/>
          <w:highlight w:val="none"/>
          <w:lang w:val="en-US" w:eastAsia="zh-CN"/>
        </w:rPr>
        <w:t>12</w:t>
      </w:r>
      <w:r>
        <w:rPr>
          <w:rFonts w:hint="default" w:ascii="Times New Roman" w:hAnsi="Times New Roman" w:eastAsia="宋体" w:cs="Times New Roman"/>
          <w:color w:val="auto"/>
          <w:sz w:val="28"/>
          <w:szCs w:val="28"/>
          <w:highlight w:val="none"/>
        </w:rPr>
        <w:t>月</w:t>
      </w:r>
      <w:r>
        <w:rPr>
          <w:rFonts w:hint="eastAsia" w:cs="Times New Roman"/>
          <w:color w:val="auto"/>
          <w:sz w:val="28"/>
          <w:szCs w:val="28"/>
          <w:highlight w:val="none"/>
          <w:lang w:val="en-US" w:eastAsia="zh-CN"/>
        </w:rPr>
        <w:t>15</w:t>
      </w:r>
      <w:r>
        <w:rPr>
          <w:rFonts w:hint="default" w:ascii="Times New Roman" w:hAnsi="Times New Roman" w:eastAsia="宋体" w:cs="Times New Roman"/>
          <w:color w:val="auto"/>
          <w:sz w:val="28"/>
          <w:szCs w:val="28"/>
          <w:highlight w:val="none"/>
        </w:rPr>
        <w:t>日</w:t>
      </w:r>
      <w:r>
        <w:rPr>
          <w:rFonts w:hint="default" w:ascii="Times New Roman" w:hAnsi="Times New Roman" w:eastAsia="宋体" w:cs="Times New Roman"/>
          <w:color w:val="auto"/>
          <w:sz w:val="28"/>
          <w:szCs w:val="28"/>
        </w:rPr>
        <w:t>，</w:t>
      </w:r>
      <w:r>
        <w:rPr>
          <w:rFonts w:hint="eastAsia" w:cs="Times New Roman"/>
          <w:color w:val="auto"/>
          <w:sz w:val="28"/>
          <w:szCs w:val="28"/>
          <w:lang w:val="en-US" w:eastAsia="zh-CN"/>
        </w:rPr>
        <w:t>山东省阳谷县宏信包装有限公司</w:t>
      </w:r>
      <w:r>
        <w:rPr>
          <w:rFonts w:hint="default" w:ascii="Times New Roman" w:hAnsi="Times New Roman" w:eastAsia="宋体" w:cs="Times New Roman"/>
          <w:color w:val="auto"/>
          <w:sz w:val="28"/>
          <w:szCs w:val="28"/>
          <w:highlight w:val="none"/>
        </w:rPr>
        <w:t>组织召开</w:t>
      </w:r>
      <w:r>
        <w:rPr>
          <w:rFonts w:hint="eastAsia" w:cs="Times New Roman"/>
          <w:color w:val="auto"/>
          <w:sz w:val="28"/>
          <w:szCs w:val="28"/>
          <w:highlight w:val="none"/>
          <w:lang w:val="en-US" w:eastAsia="zh-CN"/>
        </w:rPr>
        <w:t>年产800吨钎具项目（一期）</w:t>
      </w:r>
      <w:r>
        <w:rPr>
          <w:rFonts w:hint="default" w:ascii="Times New Roman" w:hAnsi="Times New Roman" w:eastAsia="宋体" w:cs="Times New Roman"/>
          <w:color w:val="auto"/>
          <w:sz w:val="28"/>
          <w:szCs w:val="28"/>
          <w:highlight w:val="none"/>
        </w:rPr>
        <w:t>竣</w:t>
      </w:r>
      <w:r>
        <w:rPr>
          <w:rFonts w:hint="default" w:ascii="Times New Roman" w:hAnsi="Times New Roman" w:eastAsia="宋体" w:cs="Times New Roman"/>
          <w:color w:val="auto"/>
          <w:sz w:val="28"/>
          <w:szCs w:val="28"/>
        </w:rPr>
        <w:t>工环境保护验收现场检查及验收及验收会。验收工作组由工程建设单位（</w:t>
      </w:r>
      <w:r>
        <w:rPr>
          <w:rFonts w:hint="eastAsia" w:cs="Times New Roman"/>
          <w:color w:val="auto"/>
          <w:sz w:val="28"/>
          <w:szCs w:val="28"/>
          <w:lang w:val="en-US" w:eastAsia="zh-CN"/>
        </w:rPr>
        <w:t>山东省阳谷县宏信包装有限公司</w:t>
      </w:r>
      <w:r>
        <w:rPr>
          <w:rFonts w:hint="default" w:ascii="Times New Roman" w:hAnsi="Times New Roman" w:eastAsia="宋体" w:cs="Times New Roman"/>
          <w:color w:val="auto"/>
          <w:sz w:val="28"/>
          <w:szCs w:val="28"/>
        </w:rPr>
        <w:t>）、监测单位（</w:t>
      </w:r>
      <w:r>
        <w:rPr>
          <w:rFonts w:hint="default" w:ascii="Times New Roman" w:hAnsi="Times New Roman" w:eastAsia="宋体" w:cs="Times New Roman"/>
          <w:color w:val="auto"/>
          <w:sz w:val="28"/>
          <w:szCs w:val="28"/>
          <w:lang w:eastAsia="zh-CN"/>
        </w:rPr>
        <w:t>山东聊和环保科技有限公司</w:t>
      </w:r>
      <w:r>
        <w:rPr>
          <w:rFonts w:hint="default" w:ascii="Times New Roman" w:hAnsi="Times New Roman" w:eastAsia="宋体" w:cs="Times New Roman"/>
          <w:color w:val="auto"/>
          <w:sz w:val="28"/>
          <w:szCs w:val="28"/>
        </w:rPr>
        <w:t>）并特邀</w:t>
      </w:r>
      <w:r>
        <w:rPr>
          <w:rFonts w:hint="default" w:ascii="Times New Roman" w:hAnsi="Times New Roman" w:eastAsia="宋体" w:cs="Times New Roman"/>
          <w:color w:val="auto"/>
          <w:sz w:val="28"/>
          <w:szCs w:val="28"/>
          <w:lang w:val="en-US" w:eastAsia="zh-CN"/>
        </w:rPr>
        <w:t>2</w:t>
      </w:r>
      <w:r>
        <w:rPr>
          <w:rFonts w:hint="default" w:ascii="Times New Roman" w:hAnsi="Times New Roman" w:eastAsia="宋体" w:cs="Times New Roman"/>
          <w:color w:val="auto"/>
          <w:sz w:val="28"/>
          <w:szCs w:val="28"/>
        </w:rPr>
        <w:t>名技术专家（名单附后）组成。</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一、工程建设基本情况</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（一）建设地点、规模、主要建设内容</w:t>
      </w:r>
    </w:p>
    <w:p>
      <w:pPr>
        <w:pStyle w:val="3"/>
        <w:numPr>
          <w:ilvl w:val="0"/>
          <w:numId w:val="0"/>
        </w:numPr>
        <w:spacing w:line="360" w:lineRule="auto"/>
        <w:ind w:left="233" w:leftChars="111" w:firstLine="604" w:firstLineChars="216"/>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eastAsia="zh-CN"/>
        </w:rPr>
        <w:t>山东省阳谷县宏信包装有限公司，法定代表人李春河，公司位于山东省聊城市阳谷县工业园区。项目设计总投资</w:t>
      </w:r>
      <w:r>
        <w:rPr>
          <w:rFonts w:hint="default" w:ascii="Times New Roman" w:hAnsi="Times New Roman" w:eastAsia="宋体" w:cs="Times New Roman"/>
          <w:color w:val="auto"/>
          <w:sz w:val="28"/>
          <w:szCs w:val="28"/>
          <w:lang w:val="en-US" w:eastAsia="zh-CN"/>
        </w:rPr>
        <w:t>110万</w:t>
      </w:r>
      <w:r>
        <w:rPr>
          <w:rFonts w:hint="default" w:ascii="Times New Roman" w:hAnsi="Times New Roman" w:eastAsia="宋体" w:cs="Times New Roman"/>
          <w:color w:val="auto"/>
          <w:sz w:val="28"/>
          <w:szCs w:val="28"/>
          <w:lang w:eastAsia="zh-CN"/>
        </w:rPr>
        <w:t>元，利用现有厂房新建部分厂房进行扩建，建设年产800吨钎具项目。</w:t>
      </w:r>
      <w:r>
        <w:rPr>
          <w:rFonts w:hint="default" w:ascii="Times New Roman" w:hAnsi="Times New Roman" w:eastAsia="宋体" w:cs="Times New Roman"/>
          <w:color w:val="auto"/>
          <w:sz w:val="28"/>
          <w:szCs w:val="28"/>
          <w:lang w:val="en-US" w:eastAsia="zh-CN"/>
        </w:rPr>
        <w:t>由于企业资金问题，实际设备较环评设计数量较小，项目分期验收，本次验收为一期，投资90万元，生产规模为年产600吨钎具</w:t>
      </w:r>
      <w:r>
        <w:rPr>
          <w:rFonts w:hint="default" w:ascii="Times New Roman" w:hAnsi="Times New Roman" w:eastAsia="宋体" w:cs="Times New Roman"/>
          <w:color w:val="auto"/>
          <w:sz w:val="28"/>
          <w:szCs w:val="28"/>
          <w:lang w:eastAsia="zh-CN"/>
        </w:rPr>
        <w:t>。</w:t>
      </w:r>
    </w:p>
    <w:p>
      <w:pPr>
        <w:tabs>
          <w:tab w:val="left" w:pos="220"/>
        </w:tabs>
        <w:spacing w:line="360" w:lineRule="auto"/>
        <w:ind w:left="233" w:leftChars="111" w:firstLine="604" w:firstLineChars="216"/>
        <w:jc w:val="left"/>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（二）环保审批情况</w:t>
      </w:r>
    </w:p>
    <w:p>
      <w:pPr>
        <w:spacing w:line="360" w:lineRule="auto"/>
        <w:ind w:left="233" w:leftChars="111" w:firstLine="604" w:firstLineChars="216"/>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2019年4月山东省阳谷县宏信包装有限公司委托烟台鲁达环境影响评价有限公司编制了《山东省阳谷县宏信包装有限公司年产800吨钎具项目环境影响报告表》，2019年7月5日阳谷县行政审批服务局以阳行审投资环[2019]49号对其进行了审批。2019年10月公司委托山东聊和环保科技有限公司进行该项目的环保验收监测工作，接受委托后山东聊和环保科技有限公司组织有关技术人员进行现场踏勘，依据监测技术规范制定了环保验收监测方案，并于2019年10月30日-31日对该企业进行了验收监测，根据验收监测结果和现场检查情况编制了本项目验收监测报告。</w:t>
      </w:r>
    </w:p>
    <w:p>
      <w:pPr>
        <w:tabs>
          <w:tab w:val="left" w:pos="220"/>
        </w:tabs>
        <w:spacing w:line="360" w:lineRule="auto"/>
        <w:ind w:left="233" w:leftChars="111" w:firstLine="604" w:firstLineChars="216"/>
        <w:jc w:val="left"/>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（三）投资情况</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项目</w:t>
      </w:r>
      <w:r>
        <w:rPr>
          <w:rFonts w:hint="eastAsia" w:cs="Times New Roman"/>
          <w:color w:val="auto"/>
          <w:sz w:val="28"/>
          <w:szCs w:val="28"/>
          <w:lang w:eastAsia="zh-CN"/>
        </w:rPr>
        <w:t>一期</w:t>
      </w:r>
      <w:r>
        <w:rPr>
          <w:rFonts w:hint="default" w:ascii="Times New Roman" w:hAnsi="Times New Roman" w:eastAsia="宋体" w:cs="Times New Roman"/>
          <w:color w:val="auto"/>
          <w:sz w:val="28"/>
          <w:szCs w:val="28"/>
        </w:rPr>
        <w:t>实际总投资</w:t>
      </w:r>
      <w:r>
        <w:rPr>
          <w:rFonts w:hint="eastAsia" w:cs="Times New Roman"/>
          <w:color w:val="auto"/>
          <w:sz w:val="28"/>
          <w:szCs w:val="28"/>
          <w:lang w:val="en-US" w:eastAsia="zh-CN"/>
        </w:rPr>
        <w:t>90</w:t>
      </w:r>
      <w:r>
        <w:rPr>
          <w:rFonts w:hint="default" w:ascii="Times New Roman" w:hAnsi="Times New Roman" w:eastAsia="宋体" w:cs="Times New Roman"/>
          <w:color w:val="auto"/>
          <w:sz w:val="28"/>
          <w:szCs w:val="28"/>
          <w:lang w:val="en-US" w:eastAsia="zh-CN"/>
        </w:rPr>
        <w:t>万</w:t>
      </w:r>
      <w:r>
        <w:rPr>
          <w:rFonts w:hint="default" w:ascii="Times New Roman" w:hAnsi="Times New Roman" w:eastAsia="宋体" w:cs="Times New Roman"/>
          <w:color w:val="auto"/>
          <w:sz w:val="28"/>
          <w:szCs w:val="28"/>
        </w:rPr>
        <w:t>元，其中环保投资</w:t>
      </w:r>
      <w:r>
        <w:rPr>
          <w:rFonts w:hint="eastAsia" w:cs="Times New Roman"/>
          <w:color w:val="auto"/>
          <w:sz w:val="28"/>
          <w:szCs w:val="28"/>
          <w:lang w:val="en-US" w:eastAsia="zh-CN"/>
        </w:rPr>
        <w:t>4</w:t>
      </w:r>
      <w:r>
        <w:rPr>
          <w:rFonts w:hint="default" w:ascii="Times New Roman" w:hAnsi="Times New Roman" w:eastAsia="宋体" w:cs="Times New Roman"/>
          <w:color w:val="auto"/>
          <w:sz w:val="28"/>
          <w:szCs w:val="28"/>
        </w:rPr>
        <w:t>万元。占总投资</w:t>
      </w:r>
      <w:r>
        <w:rPr>
          <w:rFonts w:hint="eastAsia" w:cs="Times New Roman"/>
          <w:color w:val="auto"/>
          <w:sz w:val="28"/>
          <w:szCs w:val="28"/>
          <w:lang w:val="en-US" w:eastAsia="zh-CN"/>
        </w:rPr>
        <w:t>4.44</w:t>
      </w:r>
      <w:r>
        <w:rPr>
          <w:rFonts w:hint="default" w:ascii="Times New Roman" w:hAnsi="Times New Roman" w:eastAsia="宋体" w:cs="Times New Roman"/>
          <w:color w:val="auto"/>
          <w:sz w:val="28"/>
          <w:szCs w:val="28"/>
        </w:rPr>
        <w:t>％。</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（四）验收范围</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本次验收的范围为</w:t>
      </w:r>
      <w:r>
        <w:rPr>
          <w:rFonts w:hint="default" w:ascii="Times New Roman" w:hAnsi="Times New Roman" w:eastAsia="宋体" w:cs="Times New Roman"/>
          <w:color w:val="auto"/>
          <w:sz w:val="28"/>
          <w:szCs w:val="28"/>
          <w:lang w:eastAsia="zh-CN"/>
        </w:rPr>
        <w:t>年</w:t>
      </w:r>
      <w:r>
        <w:rPr>
          <w:rFonts w:hint="eastAsia" w:cs="Times New Roman"/>
          <w:color w:val="auto"/>
          <w:sz w:val="28"/>
          <w:szCs w:val="28"/>
          <w:lang w:eastAsia="zh-CN"/>
        </w:rPr>
        <w:t>产600吨钎具</w:t>
      </w:r>
      <w:r>
        <w:rPr>
          <w:rFonts w:hint="default" w:ascii="Times New Roman" w:hAnsi="Times New Roman" w:eastAsia="宋体" w:cs="Times New Roman"/>
          <w:color w:val="auto"/>
          <w:sz w:val="28"/>
          <w:szCs w:val="28"/>
          <w:lang w:val="en-US" w:eastAsia="zh-CN"/>
        </w:rPr>
        <w:t>生产设备</w:t>
      </w:r>
      <w:r>
        <w:rPr>
          <w:rFonts w:hint="default" w:ascii="Times New Roman" w:hAnsi="Times New Roman" w:eastAsia="宋体" w:cs="Times New Roman"/>
          <w:color w:val="auto"/>
          <w:sz w:val="28"/>
          <w:szCs w:val="28"/>
        </w:rPr>
        <w:t>及其配套环保设施。</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二、工程变更情况</w:t>
      </w:r>
    </w:p>
    <w:p>
      <w:p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通过现场调查，对照环评报告及审批意见，</w:t>
      </w:r>
      <w:r>
        <w:rPr>
          <w:rFonts w:hint="default" w:ascii="Times New Roman" w:hAnsi="Times New Roman" w:eastAsia="宋体" w:cs="Times New Roman"/>
          <w:color w:val="auto"/>
          <w:sz w:val="28"/>
          <w:szCs w:val="28"/>
          <w:lang w:val="en-US" w:eastAsia="zh-CN"/>
        </w:rPr>
        <w:t>由于企业资金问题，实际设备较环评设计数量较小，项目分期验收，本次验收为一期。未影响综合产能。本项目生产性质、生产规模、生产地点、生产工艺及环保设施均无明显变动，根据《关于印发环评管理中部分行业建设项目重大变动清单的通知》环办[2015]52号，项目不涉及重大变更</w:t>
      </w:r>
      <w:r>
        <w:rPr>
          <w:rFonts w:hint="default" w:ascii="Times New Roman" w:hAnsi="Times New Roman" w:eastAsia="宋体" w:cs="Times New Roman"/>
          <w:color w:val="auto"/>
          <w:sz w:val="28"/>
          <w:szCs w:val="28"/>
        </w:rPr>
        <w:t>。</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eastAsia" w:cs="Times New Roman"/>
          <w:color w:val="auto"/>
          <w:sz w:val="28"/>
          <w:szCs w:val="28"/>
          <w:lang w:eastAsia="zh-CN"/>
        </w:rPr>
        <w:t>三、</w:t>
      </w:r>
      <w:r>
        <w:rPr>
          <w:rFonts w:hint="default" w:ascii="Times New Roman" w:hAnsi="Times New Roman" w:eastAsia="宋体" w:cs="Times New Roman"/>
          <w:color w:val="auto"/>
          <w:sz w:val="28"/>
          <w:szCs w:val="28"/>
        </w:rPr>
        <w:t>环境保护设施落实情况</w:t>
      </w:r>
    </w:p>
    <w:p>
      <w:pPr>
        <w:pStyle w:val="9"/>
        <w:spacing w:beforeLines="50" w:line="360" w:lineRule="auto"/>
        <w:ind w:left="233" w:leftChars="111" w:firstLine="604" w:firstLineChars="216"/>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（一）废水污染源及其治理措施</w:t>
      </w:r>
    </w:p>
    <w:p>
      <w:pPr>
        <w:widowControl/>
        <w:spacing w:line="360" w:lineRule="auto"/>
        <w:ind w:left="233" w:leftChars="111" w:firstLine="604" w:firstLineChars="216"/>
        <w:jc w:val="left"/>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本项目冷却水循环使用，不外排；废水主要为生活污水，经市政管网排入阳谷县碧海国环污水处理有限公司进行处理。</w:t>
      </w:r>
    </w:p>
    <w:p>
      <w:pPr>
        <w:widowControl/>
        <w:spacing w:line="360" w:lineRule="auto"/>
        <w:ind w:left="233" w:leftChars="111" w:firstLine="604" w:firstLineChars="216"/>
        <w:jc w:val="left"/>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（二）废气污染源及其治理措施</w:t>
      </w:r>
    </w:p>
    <w:p>
      <w:pPr>
        <w:spacing w:line="360" w:lineRule="auto"/>
        <w:ind w:left="233" w:leftChars="111" w:firstLine="604" w:firstLineChars="216"/>
        <w:jc w:val="left"/>
        <w:rPr>
          <w:rFonts w:hint="default" w:ascii="Times New Roman" w:hAnsi="Times New Roman" w:eastAsia="宋体" w:cs="Times New Roman"/>
          <w:snapToGrid w:val="0"/>
          <w:color w:val="auto"/>
          <w:kern w:val="0"/>
          <w:sz w:val="28"/>
          <w:szCs w:val="28"/>
          <w:lang w:val="en-US" w:eastAsia="zh-CN"/>
        </w:rPr>
      </w:pPr>
      <w:r>
        <w:rPr>
          <w:rFonts w:hint="default" w:ascii="Times New Roman" w:hAnsi="Times New Roman" w:eastAsia="宋体" w:cs="Times New Roman"/>
          <w:snapToGrid w:val="0"/>
          <w:color w:val="auto"/>
          <w:kern w:val="0"/>
          <w:sz w:val="28"/>
          <w:szCs w:val="28"/>
          <w:lang w:val="en-US" w:eastAsia="zh-CN"/>
        </w:rPr>
        <w:t>本项目产生的废气主要为焊接产生的焊接烟尘、抛丸产生的粉尘、淬火和回火产生的非甲烷总烃。</w:t>
      </w:r>
    </w:p>
    <w:p>
      <w:pPr>
        <w:spacing w:line="360" w:lineRule="auto"/>
        <w:ind w:left="233" w:leftChars="111" w:firstLine="604" w:firstLineChars="216"/>
        <w:jc w:val="left"/>
        <w:rPr>
          <w:rFonts w:hint="default" w:ascii="Times New Roman" w:hAnsi="Times New Roman" w:eastAsia="宋体" w:cs="Times New Roman"/>
          <w:snapToGrid w:val="0"/>
          <w:color w:val="auto"/>
          <w:kern w:val="0"/>
          <w:sz w:val="28"/>
          <w:szCs w:val="28"/>
          <w:lang w:val="en-US" w:eastAsia="zh-CN"/>
        </w:rPr>
      </w:pPr>
      <w:r>
        <w:rPr>
          <w:rFonts w:hint="default" w:ascii="Times New Roman" w:hAnsi="Times New Roman" w:eastAsia="宋体" w:cs="Times New Roman"/>
          <w:snapToGrid w:val="0"/>
          <w:color w:val="auto"/>
          <w:kern w:val="0"/>
          <w:sz w:val="28"/>
          <w:szCs w:val="28"/>
          <w:lang w:val="en-US" w:eastAsia="zh-CN"/>
        </w:rPr>
        <w:t>抛丸产生的粉尘采用集气罩收集后通过过滤棉+布袋除尘器处理，然后通过15米高排气筒排放。淬火和回火产生的非甲烷总烃采用集气罩收集后通过UV光氧催化+活性炭处理，然后通过15m高排气筒排放。</w:t>
      </w:r>
    </w:p>
    <w:p>
      <w:pPr>
        <w:spacing w:line="360" w:lineRule="auto"/>
        <w:ind w:left="233" w:leftChars="111" w:firstLine="604" w:firstLineChars="216"/>
        <w:jc w:val="left"/>
        <w:rPr>
          <w:rFonts w:hint="default" w:ascii="Times New Roman" w:hAnsi="Times New Roman" w:eastAsia="宋体" w:cs="Times New Roman"/>
          <w:snapToGrid w:val="0"/>
          <w:color w:val="auto"/>
          <w:kern w:val="0"/>
          <w:sz w:val="28"/>
          <w:szCs w:val="28"/>
          <w:lang w:val="en-US" w:eastAsia="zh-CN"/>
        </w:rPr>
      </w:pPr>
      <w:r>
        <w:rPr>
          <w:rFonts w:hint="default" w:ascii="Times New Roman" w:hAnsi="Times New Roman" w:eastAsia="宋体" w:cs="Times New Roman"/>
          <w:snapToGrid w:val="0"/>
          <w:color w:val="auto"/>
          <w:kern w:val="0"/>
          <w:sz w:val="28"/>
          <w:szCs w:val="28"/>
          <w:lang w:val="en-US" w:eastAsia="zh-CN"/>
        </w:rPr>
        <w:t>焊接产生的焊接烟尘通过移动式焊烟净化器收集后无组织排放。抛丸工序未收集的颗粒物、淬火、回火工序未收集的非甲烷总烃经车间通风后无组织排放。</w:t>
      </w:r>
    </w:p>
    <w:p>
      <w:pPr>
        <w:spacing w:line="360" w:lineRule="auto"/>
        <w:ind w:left="233" w:leftChars="111" w:firstLine="604" w:firstLineChars="216"/>
        <w:jc w:val="left"/>
        <w:rPr>
          <w:rFonts w:hint="default" w:ascii="Times New Roman" w:hAnsi="Times New Roman" w:eastAsia="宋体" w:cs="Times New Roman"/>
          <w:snapToGrid w:val="0"/>
          <w:color w:val="auto"/>
          <w:kern w:val="0"/>
          <w:sz w:val="28"/>
          <w:szCs w:val="28"/>
          <w:lang w:val="en-US" w:eastAsia="zh-CN"/>
        </w:rPr>
      </w:pPr>
      <w:r>
        <w:rPr>
          <w:rFonts w:hint="default" w:ascii="Times New Roman" w:hAnsi="Times New Roman" w:eastAsia="宋体" w:cs="Times New Roman"/>
          <w:snapToGrid w:val="0"/>
          <w:color w:val="auto"/>
          <w:kern w:val="0"/>
          <w:sz w:val="28"/>
          <w:szCs w:val="28"/>
          <w:lang w:val="en-US" w:eastAsia="zh-CN"/>
        </w:rPr>
        <w:t>（三）噪声</w:t>
      </w:r>
    </w:p>
    <w:p>
      <w:pPr>
        <w:spacing w:line="360" w:lineRule="auto"/>
        <w:ind w:left="233" w:leftChars="111" w:firstLine="604" w:firstLineChars="216"/>
        <w:jc w:val="left"/>
        <w:rPr>
          <w:rFonts w:hint="default" w:ascii="Times New Roman" w:hAnsi="Times New Roman" w:eastAsia="宋体" w:cs="Times New Roman"/>
          <w:snapToGrid w:val="0"/>
          <w:color w:val="auto"/>
          <w:kern w:val="0"/>
          <w:sz w:val="28"/>
          <w:szCs w:val="28"/>
          <w:lang w:val="en-US" w:eastAsia="zh-CN"/>
        </w:rPr>
      </w:pPr>
      <w:r>
        <w:rPr>
          <w:rFonts w:hint="default" w:ascii="Times New Roman" w:hAnsi="Times New Roman" w:eastAsia="宋体" w:cs="Times New Roman"/>
          <w:snapToGrid w:val="0"/>
          <w:color w:val="auto"/>
          <w:kern w:val="0"/>
          <w:sz w:val="28"/>
          <w:szCs w:val="28"/>
          <w:lang w:val="en-US" w:eastAsia="zh-CN"/>
        </w:rPr>
        <w:t xml:space="preserve">本项目噪声源主要为车床、机床等设备运行时产生的噪声，通过选用低噪音设备，并采取基础减振、厂房隔声等措施，降低对外环境的影响。 </w:t>
      </w:r>
    </w:p>
    <w:p>
      <w:pPr>
        <w:spacing w:line="360" w:lineRule="auto"/>
        <w:ind w:left="233" w:leftChars="111" w:firstLine="604" w:firstLineChars="216"/>
        <w:jc w:val="left"/>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rPr>
        <w:t>（四）固体废物</w:t>
      </w:r>
    </w:p>
    <w:p>
      <w:pPr>
        <w:pStyle w:val="9"/>
        <w:numPr>
          <w:ilvl w:val="0"/>
          <w:numId w:val="0"/>
        </w:numPr>
        <w:spacing w:line="360" w:lineRule="auto"/>
        <w:ind w:left="233" w:leftChars="111" w:firstLine="604" w:firstLineChars="216"/>
        <w:jc w:val="left"/>
        <w:rPr>
          <w:rFonts w:hint="default" w:ascii="Times New Roman" w:hAnsi="Times New Roman" w:eastAsia="宋体" w:cs="Times New Roman"/>
          <w:snapToGrid w:val="0"/>
          <w:color w:val="auto"/>
          <w:kern w:val="0"/>
          <w:sz w:val="28"/>
          <w:szCs w:val="28"/>
          <w:lang w:val="en-US" w:eastAsia="zh-CN" w:bidi="ar-SA"/>
        </w:rPr>
      </w:pPr>
      <w:r>
        <w:rPr>
          <w:rFonts w:hint="default" w:ascii="Times New Roman" w:hAnsi="Times New Roman" w:eastAsia="宋体" w:cs="Times New Roman"/>
          <w:snapToGrid w:val="0"/>
          <w:color w:val="auto"/>
          <w:kern w:val="0"/>
          <w:sz w:val="28"/>
          <w:szCs w:val="28"/>
          <w:lang w:val="en-US" w:eastAsia="zh-CN" w:bidi="ar-SA"/>
        </w:rPr>
        <w:t>本项目下脚料、废钢渣和收集的粉尘，属于一般工业固废，收集后外售处理；废原料桶由原料厂家回收，切削液及淬火油收集后循环使用，废过滤棉、废活性炭、废润滑油、废UV灯管属于危险废物，废过滤棉、废润滑油、废UV灯管产生后暂存于危废暂存间内，委托有资质的单位济宁凯昌再生资源有限公司处理；通过现场调查，废活性炭暂未产生，待产生后须暂存于危废暂存间内，并及时与有资质的单位签订危险废物委托处置合同。生活垃圾由环卫部门清运处理。</w:t>
      </w:r>
    </w:p>
    <w:p>
      <w:pPr>
        <w:pStyle w:val="9"/>
        <w:numPr>
          <w:ilvl w:val="0"/>
          <w:numId w:val="0"/>
        </w:numPr>
        <w:spacing w:line="360" w:lineRule="auto"/>
        <w:ind w:left="233" w:leftChars="111" w:firstLine="604" w:firstLineChars="216"/>
        <w:jc w:val="left"/>
        <w:rPr>
          <w:rFonts w:hint="default" w:ascii="Times New Roman" w:hAnsi="Times New Roman" w:eastAsia="宋体" w:cs="Times New Roman"/>
          <w:snapToGrid w:val="0"/>
          <w:color w:val="auto"/>
          <w:kern w:val="0"/>
          <w:sz w:val="28"/>
          <w:szCs w:val="28"/>
          <w:lang w:val="en-US" w:eastAsia="zh-CN" w:bidi="ar-SA"/>
        </w:rPr>
      </w:pPr>
      <w:r>
        <w:rPr>
          <w:rFonts w:hint="default" w:ascii="Times New Roman" w:hAnsi="Times New Roman" w:eastAsia="宋体" w:cs="Times New Roman"/>
          <w:snapToGrid w:val="0"/>
          <w:color w:val="auto"/>
          <w:kern w:val="0"/>
          <w:sz w:val="28"/>
          <w:szCs w:val="28"/>
          <w:lang w:val="en-US" w:eastAsia="zh-CN" w:bidi="ar-SA"/>
        </w:rPr>
        <w:t>四、验收监测结果</w:t>
      </w:r>
    </w:p>
    <w:p>
      <w:p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（一）环保设施运行检测结果</w:t>
      </w:r>
    </w:p>
    <w:p>
      <w:pPr>
        <w:widowControl/>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eastAsia="zh-CN"/>
        </w:rPr>
        <w:t>山东聊和环保科技有限公司</w:t>
      </w:r>
      <w:r>
        <w:rPr>
          <w:rFonts w:hint="default" w:ascii="Times New Roman" w:hAnsi="Times New Roman" w:eastAsia="宋体" w:cs="Times New Roman"/>
          <w:color w:val="auto"/>
          <w:sz w:val="28"/>
          <w:szCs w:val="28"/>
        </w:rPr>
        <w:t>出具的</w:t>
      </w:r>
      <w:r>
        <w:rPr>
          <w:rFonts w:hint="default" w:ascii="Times New Roman" w:hAnsi="Times New Roman" w:eastAsia="宋体" w:cs="Times New Roman"/>
          <w:b w:val="0"/>
          <w:bCs w:val="0"/>
          <w:color w:val="auto"/>
          <w:sz w:val="28"/>
          <w:szCs w:val="28"/>
        </w:rPr>
        <w:t>《</w:t>
      </w:r>
      <w:r>
        <w:rPr>
          <w:rFonts w:hint="eastAsia" w:cs="Times New Roman"/>
          <w:b w:val="0"/>
          <w:bCs w:val="0"/>
          <w:color w:val="auto"/>
          <w:sz w:val="28"/>
          <w:szCs w:val="28"/>
          <w:lang w:val="en-US" w:eastAsia="zh-CN"/>
        </w:rPr>
        <w:t>山东省阳谷县宏信包装有限公司年加工冲压件3000吨项目</w:t>
      </w:r>
      <w:r>
        <w:rPr>
          <w:rFonts w:hint="default" w:ascii="Times New Roman" w:hAnsi="Times New Roman" w:eastAsia="宋体" w:cs="Times New Roman"/>
          <w:color w:val="auto"/>
          <w:sz w:val="28"/>
          <w:szCs w:val="28"/>
        </w:rPr>
        <w:t>竣工环境保护验收监测报告》监测结果表明：</w:t>
      </w:r>
    </w:p>
    <w:p>
      <w:pPr>
        <w:numPr>
          <w:ilvl w:val="0"/>
          <w:numId w:val="1"/>
        </w:num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eastAsia="zh-CN"/>
        </w:rPr>
        <w:t>废水</w:t>
      </w:r>
    </w:p>
    <w:p>
      <w:pPr>
        <w:spacing w:line="360" w:lineRule="auto"/>
        <w:ind w:left="233" w:leftChars="111" w:firstLine="604" w:firstLineChars="216"/>
        <w:rPr>
          <w:rFonts w:hint="default" w:ascii="Times New Roman" w:hAnsi="Times New Roman" w:eastAsia="宋体" w:cs="Times New Roman"/>
          <w:b w:val="0"/>
          <w:bCs w:val="0"/>
          <w:color w:val="auto"/>
          <w:sz w:val="28"/>
          <w:szCs w:val="28"/>
          <w:lang w:val="en-US" w:eastAsia="zh-CN"/>
        </w:rPr>
      </w:pPr>
      <w:r>
        <w:rPr>
          <w:rFonts w:hint="default" w:ascii="Times New Roman" w:hAnsi="Times New Roman" w:eastAsia="宋体" w:cs="Times New Roman"/>
          <w:color w:val="auto"/>
          <w:sz w:val="28"/>
          <w:szCs w:val="28"/>
          <w:lang w:val="en-US" w:eastAsia="zh-CN"/>
        </w:rPr>
        <w:t>验收监测期间，废水pH为7.12-7.13，化学需氧量最高排放浓度为64mg/L，氨氮最高排放浓度为9.53mg/L，悬浮物最高排放浓度为14mg/L，满足《污水排入城镇下水道水质标准》（GB/T 31962-2015）表1中B等级标准及阳谷县碧海国环污水处理有限公司进水水质要求。</w:t>
      </w:r>
    </w:p>
    <w:p>
      <w:pPr>
        <w:numPr>
          <w:ilvl w:val="0"/>
          <w:numId w:val="2"/>
        </w:num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废气</w:t>
      </w:r>
    </w:p>
    <w:p>
      <w:pPr>
        <w:pStyle w:val="2"/>
        <w:spacing w:line="360" w:lineRule="auto"/>
        <w:ind w:left="0" w:leftChars="0" w:firstLine="840" w:firstLineChars="300"/>
        <w:jc w:val="both"/>
        <w:rPr>
          <w:rFonts w:hint="default" w:ascii="Times New Roman" w:hAnsi="Times New Roman" w:eastAsia="宋体" w:cs="Times New Roman"/>
          <w:color w:val="000000"/>
          <w:sz w:val="28"/>
          <w:szCs w:val="28"/>
        </w:rPr>
      </w:pPr>
      <w:r>
        <w:rPr>
          <w:rFonts w:hint="default" w:ascii="Times New Roman" w:hAnsi="Times New Roman" w:eastAsia="宋体" w:cs="Times New Roman"/>
          <w:color w:val="000000"/>
          <w:sz w:val="28"/>
          <w:szCs w:val="28"/>
        </w:rPr>
        <w:t>验</w:t>
      </w:r>
      <w:r>
        <w:rPr>
          <w:rFonts w:hint="default" w:ascii="Times New Roman" w:hAnsi="Times New Roman" w:eastAsia="宋体" w:cs="Times New Roman"/>
          <w:bCs/>
          <w:color w:val="000000"/>
          <w:sz w:val="28"/>
          <w:szCs w:val="28"/>
        </w:rPr>
        <w:t>收监测期间，有组织颗粒物最高排放浓度</w:t>
      </w:r>
      <w:r>
        <w:rPr>
          <w:rFonts w:hint="default" w:ascii="Times New Roman" w:hAnsi="Times New Roman" w:eastAsia="宋体" w:cs="Times New Roman"/>
          <w:bCs/>
          <w:color w:val="000000"/>
          <w:sz w:val="28"/>
          <w:szCs w:val="28"/>
          <w:lang w:eastAsia="zh-CN"/>
        </w:rPr>
        <w:t>为</w:t>
      </w:r>
      <w:r>
        <w:rPr>
          <w:rFonts w:hint="default" w:ascii="Times New Roman" w:hAnsi="Times New Roman" w:cs="Times New Roman"/>
          <w:bCs/>
          <w:color w:val="000000"/>
          <w:sz w:val="28"/>
          <w:szCs w:val="28"/>
          <w:lang w:val="en-US" w:eastAsia="zh-CN"/>
        </w:rPr>
        <w:t>6.6</w:t>
      </w:r>
      <w:r>
        <w:rPr>
          <w:rFonts w:hint="default" w:ascii="Times New Roman" w:hAnsi="Times New Roman" w:eastAsia="宋体" w:cs="Times New Roman"/>
          <w:bCs/>
          <w:color w:val="000000"/>
          <w:sz w:val="28"/>
          <w:szCs w:val="28"/>
        </w:rPr>
        <w:t>mg/m</w:t>
      </w:r>
      <w:r>
        <w:rPr>
          <w:rFonts w:hint="default" w:ascii="Times New Roman" w:hAnsi="Times New Roman" w:eastAsia="宋体" w:cs="Times New Roman"/>
          <w:bCs/>
          <w:color w:val="000000"/>
          <w:sz w:val="28"/>
          <w:szCs w:val="28"/>
          <w:vertAlign w:val="superscript"/>
        </w:rPr>
        <w:t>3</w:t>
      </w:r>
      <w:r>
        <w:rPr>
          <w:rFonts w:hint="default" w:ascii="Times New Roman" w:hAnsi="Times New Roman" w:eastAsia="宋体" w:cs="Times New Roman"/>
          <w:bCs/>
          <w:color w:val="000000"/>
          <w:sz w:val="28"/>
          <w:szCs w:val="28"/>
        </w:rPr>
        <w:t>，排放速率最高为</w:t>
      </w:r>
      <w:r>
        <w:rPr>
          <w:rFonts w:hint="default" w:ascii="Times New Roman" w:hAnsi="Times New Roman" w:eastAsia="宋体" w:cs="Times New Roman"/>
          <w:bCs/>
          <w:color w:val="000000"/>
          <w:sz w:val="28"/>
          <w:szCs w:val="28"/>
          <w:lang w:val="en-US" w:eastAsia="zh-CN"/>
        </w:rPr>
        <w:t>8.1×10</w:t>
      </w:r>
      <w:r>
        <w:rPr>
          <w:rFonts w:hint="default" w:ascii="Times New Roman" w:hAnsi="Times New Roman" w:eastAsia="宋体" w:cs="Times New Roman"/>
          <w:bCs/>
          <w:color w:val="000000"/>
          <w:sz w:val="28"/>
          <w:szCs w:val="28"/>
          <w:vertAlign w:val="superscript"/>
          <w:lang w:val="en-US" w:eastAsia="zh-CN"/>
        </w:rPr>
        <w:t>-3</w:t>
      </w:r>
      <w:r>
        <w:rPr>
          <w:rFonts w:hint="default" w:ascii="Times New Roman" w:hAnsi="Times New Roman" w:eastAsia="宋体" w:cs="Times New Roman"/>
          <w:bCs/>
          <w:color w:val="000000"/>
          <w:sz w:val="28"/>
          <w:szCs w:val="28"/>
        </w:rPr>
        <w:t>kg/h</w:t>
      </w:r>
      <w:r>
        <w:rPr>
          <w:rFonts w:hint="default" w:ascii="Times New Roman" w:hAnsi="Times New Roman" w:eastAsia="宋体" w:cs="Times New Roman"/>
          <w:bCs/>
          <w:color w:val="000000"/>
          <w:sz w:val="28"/>
          <w:szCs w:val="28"/>
          <w:lang w:eastAsia="zh-CN"/>
        </w:rPr>
        <w:t>，</w:t>
      </w:r>
      <w:r>
        <w:rPr>
          <w:rFonts w:hint="default" w:ascii="Times New Roman" w:hAnsi="Times New Roman" w:eastAsia="宋体" w:cs="Times New Roman"/>
          <w:bCs/>
          <w:color w:val="000000"/>
          <w:sz w:val="28"/>
          <w:szCs w:val="28"/>
        </w:rPr>
        <w:t>满足</w:t>
      </w:r>
      <w:r>
        <w:rPr>
          <w:rFonts w:hint="default" w:ascii="Times New Roman" w:hAnsi="Times New Roman" w:cs="Times New Roman"/>
          <w:bCs/>
          <w:color w:val="000000"/>
          <w:sz w:val="28"/>
          <w:szCs w:val="28"/>
          <w:lang w:eastAsia="zh-CN"/>
        </w:rPr>
        <w:t>《区域性大气污染物综合排放标准》（DB372376-2019）表1“重点控制区”</w:t>
      </w:r>
      <w:r>
        <w:rPr>
          <w:rFonts w:hint="default" w:ascii="Times New Roman" w:hAnsi="Times New Roman" w:eastAsia="宋体" w:cs="Times New Roman"/>
          <w:bCs/>
          <w:color w:val="000000"/>
          <w:sz w:val="28"/>
          <w:szCs w:val="28"/>
        </w:rPr>
        <w:t>排放浓度限值及《大气污染物综合排放标准》（GB16297-1996）表2中相关排放速率二级限值标准</w:t>
      </w:r>
      <w:r>
        <w:rPr>
          <w:rFonts w:hint="default" w:ascii="Times New Roman" w:hAnsi="Times New Roman" w:eastAsia="宋体" w:cs="Times New Roman"/>
          <w:bCs/>
          <w:color w:val="000000"/>
          <w:sz w:val="28"/>
          <w:szCs w:val="28"/>
          <w:lang w:eastAsia="zh-CN"/>
        </w:rPr>
        <w:t>。</w:t>
      </w:r>
      <w:r>
        <w:rPr>
          <w:rFonts w:hint="default" w:ascii="Times New Roman" w:hAnsi="Times New Roman" w:eastAsia="宋体" w:cs="Times New Roman"/>
          <w:bCs/>
          <w:color w:val="000000"/>
          <w:sz w:val="28"/>
          <w:szCs w:val="28"/>
        </w:rPr>
        <w:t>有组织</w:t>
      </w:r>
      <w:r>
        <w:rPr>
          <w:rFonts w:hint="default" w:ascii="Times New Roman" w:hAnsi="Times New Roman" w:eastAsia="宋体" w:cs="Times New Roman"/>
          <w:bCs/>
          <w:color w:val="000000"/>
          <w:sz w:val="28"/>
          <w:szCs w:val="28"/>
          <w:lang w:eastAsia="zh-CN"/>
        </w:rPr>
        <w:t>非甲烷总烃</w:t>
      </w:r>
      <w:r>
        <w:rPr>
          <w:rFonts w:hint="default" w:ascii="Times New Roman" w:hAnsi="Times New Roman" w:eastAsia="宋体" w:cs="Times New Roman"/>
          <w:bCs/>
          <w:color w:val="000000"/>
          <w:sz w:val="28"/>
          <w:szCs w:val="28"/>
        </w:rPr>
        <w:t>最高排放浓度</w:t>
      </w:r>
      <w:r>
        <w:rPr>
          <w:rFonts w:hint="default" w:ascii="Times New Roman" w:hAnsi="Times New Roman" w:eastAsia="宋体" w:cs="Times New Roman"/>
          <w:bCs/>
          <w:color w:val="000000"/>
          <w:sz w:val="28"/>
          <w:szCs w:val="28"/>
          <w:lang w:eastAsia="zh-CN"/>
        </w:rPr>
        <w:t>为</w:t>
      </w:r>
      <w:r>
        <w:rPr>
          <w:rFonts w:hint="default" w:ascii="Times New Roman" w:hAnsi="Times New Roman" w:eastAsia="宋体" w:cs="Times New Roman"/>
          <w:bCs/>
          <w:color w:val="000000"/>
          <w:sz w:val="28"/>
          <w:szCs w:val="28"/>
          <w:lang w:val="en-US" w:eastAsia="zh-CN"/>
        </w:rPr>
        <w:t>0.53</w:t>
      </w:r>
      <w:r>
        <w:rPr>
          <w:rFonts w:hint="default" w:ascii="Times New Roman" w:hAnsi="Times New Roman" w:eastAsia="宋体" w:cs="Times New Roman"/>
          <w:bCs/>
          <w:color w:val="000000"/>
          <w:sz w:val="28"/>
          <w:szCs w:val="28"/>
        </w:rPr>
        <w:t>mg/m</w:t>
      </w:r>
      <w:r>
        <w:rPr>
          <w:rFonts w:hint="default" w:ascii="Times New Roman" w:hAnsi="Times New Roman" w:eastAsia="宋体" w:cs="Times New Roman"/>
          <w:bCs/>
          <w:color w:val="000000"/>
          <w:sz w:val="28"/>
          <w:szCs w:val="28"/>
          <w:vertAlign w:val="superscript"/>
        </w:rPr>
        <w:t>3</w:t>
      </w:r>
      <w:r>
        <w:rPr>
          <w:rFonts w:hint="default" w:ascii="Times New Roman" w:hAnsi="Times New Roman" w:eastAsia="宋体" w:cs="Times New Roman"/>
          <w:bCs/>
          <w:color w:val="000000"/>
          <w:sz w:val="28"/>
          <w:szCs w:val="28"/>
        </w:rPr>
        <w:t>，排放速率最高为</w:t>
      </w:r>
      <w:r>
        <w:rPr>
          <w:rFonts w:hint="default" w:ascii="Times New Roman" w:hAnsi="Times New Roman" w:eastAsia="宋体" w:cs="Times New Roman"/>
          <w:bCs/>
          <w:color w:val="000000"/>
          <w:sz w:val="28"/>
          <w:szCs w:val="28"/>
          <w:lang w:val="en-US" w:eastAsia="zh-CN"/>
        </w:rPr>
        <w:t>2.4×10</w:t>
      </w:r>
      <w:r>
        <w:rPr>
          <w:rFonts w:hint="default" w:ascii="Times New Roman" w:hAnsi="Times New Roman" w:eastAsia="宋体" w:cs="Times New Roman"/>
          <w:bCs/>
          <w:color w:val="000000"/>
          <w:sz w:val="28"/>
          <w:szCs w:val="28"/>
          <w:vertAlign w:val="superscript"/>
          <w:lang w:val="en-US" w:eastAsia="zh-CN"/>
        </w:rPr>
        <w:t>-3</w:t>
      </w:r>
      <w:r>
        <w:rPr>
          <w:rFonts w:hint="default" w:ascii="Times New Roman" w:hAnsi="Times New Roman" w:eastAsia="宋体" w:cs="Times New Roman"/>
          <w:bCs/>
          <w:color w:val="000000"/>
          <w:sz w:val="28"/>
          <w:szCs w:val="28"/>
        </w:rPr>
        <w:t>kg/h</w:t>
      </w:r>
      <w:r>
        <w:rPr>
          <w:rFonts w:hint="default" w:ascii="Times New Roman" w:hAnsi="Times New Roman" w:eastAsia="宋体" w:cs="Times New Roman"/>
          <w:bCs/>
          <w:color w:val="000000"/>
          <w:sz w:val="28"/>
          <w:szCs w:val="28"/>
          <w:lang w:eastAsia="zh-CN"/>
        </w:rPr>
        <w:t>，《大气污染物综合排放标准》表2中相关排放标准限值</w:t>
      </w:r>
      <w:r>
        <w:rPr>
          <w:rFonts w:hint="default" w:ascii="Times New Roman" w:hAnsi="Times New Roman" w:eastAsia="宋体" w:cs="Times New Roman"/>
          <w:color w:val="000000"/>
          <w:sz w:val="28"/>
          <w:szCs w:val="28"/>
        </w:rPr>
        <w:t>。</w:t>
      </w:r>
    </w:p>
    <w:p>
      <w:pPr>
        <w:pStyle w:val="2"/>
        <w:spacing w:line="360" w:lineRule="auto"/>
        <w:ind w:left="0" w:leftChars="0" w:firstLine="840" w:firstLineChars="300"/>
        <w:jc w:val="both"/>
        <w:rPr>
          <w:rFonts w:hint="default" w:ascii="Times New Roman" w:hAnsi="Times New Roman" w:eastAsia="宋体" w:cs="Times New Roman"/>
          <w:color w:val="000000"/>
          <w:sz w:val="28"/>
          <w:szCs w:val="28"/>
          <w:lang w:eastAsia="zh-CN"/>
        </w:rPr>
      </w:pPr>
      <w:r>
        <w:rPr>
          <w:rFonts w:hint="default" w:ascii="Times New Roman" w:hAnsi="Times New Roman" w:cs="Times New Roman"/>
          <w:color w:val="000000"/>
          <w:sz w:val="28"/>
          <w:szCs w:val="28"/>
          <w:lang w:eastAsia="zh-CN"/>
        </w:rPr>
        <w:t>总量控制：</w:t>
      </w:r>
      <w:r>
        <w:rPr>
          <w:rFonts w:hint="default" w:ascii="Times New Roman" w:hAnsi="Times New Roman" w:cs="Times New Roman"/>
          <w:color w:val="000000"/>
          <w:sz w:val="28"/>
          <w:szCs w:val="28"/>
          <w:lang w:val="en-US" w:eastAsia="zh-CN"/>
        </w:rPr>
        <w:t>本项目折满负荷VOCs排放总量为0.0033t/a，满足阳谷县总量指标VOCs0.0152</w:t>
      </w:r>
      <w:r>
        <w:rPr>
          <w:rFonts w:hint="default" w:ascii="Times New Roman" w:hAnsi="Times New Roman" w:cs="Times New Roman"/>
          <w:color w:val="000000"/>
          <w:sz w:val="28"/>
          <w:szCs w:val="28"/>
          <w:lang w:eastAsia="zh-CN"/>
        </w:rPr>
        <w:t>t/a。</w:t>
      </w:r>
    </w:p>
    <w:p>
      <w:pPr>
        <w:spacing w:line="360" w:lineRule="auto"/>
        <w:ind w:left="233" w:leftChars="111" w:firstLine="604" w:firstLineChars="216"/>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bCs/>
          <w:color w:val="000000"/>
          <w:sz w:val="28"/>
          <w:szCs w:val="28"/>
        </w:rPr>
        <w:t>无组织颗粒物小时浓度最高</w:t>
      </w:r>
      <w:r>
        <w:rPr>
          <w:rFonts w:hint="default" w:ascii="Times New Roman" w:hAnsi="Times New Roman" w:eastAsia="宋体" w:cs="Times New Roman"/>
          <w:bCs/>
          <w:color w:val="000000"/>
          <w:sz w:val="28"/>
          <w:szCs w:val="28"/>
          <w:lang w:eastAsia="zh-CN"/>
        </w:rPr>
        <w:t>为</w:t>
      </w:r>
      <w:r>
        <w:rPr>
          <w:rFonts w:hint="default" w:ascii="Times New Roman" w:hAnsi="Times New Roman" w:cs="Times New Roman"/>
          <w:bCs/>
          <w:color w:val="000000"/>
          <w:sz w:val="28"/>
          <w:szCs w:val="28"/>
          <w:lang w:val="en-US" w:eastAsia="zh-CN"/>
        </w:rPr>
        <w:t>0.567</w:t>
      </w:r>
      <w:r>
        <w:rPr>
          <w:rFonts w:hint="default" w:ascii="Times New Roman" w:hAnsi="Times New Roman" w:eastAsia="宋体" w:cs="Times New Roman"/>
          <w:bCs/>
          <w:color w:val="000000"/>
          <w:sz w:val="28"/>
          <w:szCs w:val="28"/>
          <w:lang w:eastAsia="zh-CN"/>
        </w:rPr>
        <w:t>mg</w:t>
      </w:r>
      <w:r>
        <w:rPr>
          <w:rFonts w:hint="default" w:ascii="Times New Roman" w:hAnsi="Times New Roman" w:eastAsia="宋体" w:cs="Times New Roman"/>
          <w:bCs/>
          <w:color w:val="000000"/>
          <w:sz w:val="28"/>
          <w:szCs w:val="28"/>
        </w:rPr>
        <w:t>/m</w:t>
      </w:r>
      <w:r>
        <w:rPr>
          <w:rFonts w:hint="default" w:ascii="Times New Roman" w:hAnsi="Times New Roman" w:eastAsia="宋体" w:cs="Times New Roman"/>
          <w:bCs/>
          <w:color w:val="000000"/>
          <w:sz w:val="28"/>
          <w:szCs w:val="28"/>
          <w:vertAlign w:val="superscript"/>
        </w:rPr>
        <w:t>3</w:t>
      </w:r>
      <w:r>
        <w:rPr>
          <w:rFonts w:hint="default" w:ascii="Times New Roman" w:hAnsi="Times New Roman" w:eastAsia="宋体" w:cs="Times New Roman"/>
          <w:bCs/>
          <w:color w:val="000000"/>
          <w:sz w:val="28"/>
          <w:szCs w:val="28"/>
        </w:rPr>
        <w:t>，无组织</w:t>
      </w:r>
      <w:r>
        <w:rPr>
          <w:rFonts w:hint="default" w:ascii="Times New Roman" w:hAnsi="Times New Roman" w:eastAsia="宋体" w:cs="Times New Roman"/>
          <w:bCs/>
          <w:color w:val="000000"/>
          <w:sz w:val="28"/>
          <w:szCs w:val="28"/>
          <w:lang w:eastAsia="zh-CN"/>
        </w:rPr>
        <w:t>非甲烷总烃</w:t>
      </w:r>
      <w:r>
        <w:rPr>
          <w:rFonts w:hint="default" w:ascii="Times New Roman" w:hAnsi="Times New Roman" w:eastAsia="宋体" w:cs="Times New Roman"/>
          <w:bCs/>
          <w:color w:val="000000"/>
          <w:sz w:val="28"/>
          <w:szCs w:val="28"/>
        </w:rPr>
        <w:t>小时浓度最高</w:t>
      </w:r>
      <w:r>
        <w:rPr>
          <w:rFonts w:hint="default" w:ascii="Times New Roman" w:hAnsi="Times New Roman" w:eastAsia="宋体" w:cs="Times New Roman"/>
          <w:bCs/>
          <w:color w:val="000000"/>
          <w:sz w:val="28"/>
          <w:szCs w:val="28"/>
          <w:lang w:eastAsia="zh-CN"/>
        </w:rPr>
        <w:t>为0.</w:t>
      </w:r>
      <w:r>
        <w:rPr>
          <w:rFonts w:hint="default" w:ascii="Times New Roman" w:hAnsi="Times New Roman" w:eastAsia="宋体" w:cs="Times New Roman"/>
          <w:bCs/>
          <w:color w:val="000000"/>
          <w:sz w:val="28"/>
          <w:szCs w:val="28"/>
          <w:lang w:val="en-US" w:eastAsia="zh-CN"/>
        </w:rPr>
        <w:t>19</w:t>
      </w:r>
      <w:r>
        <w:rPr>
          <w:rFonts w:hint="default" w:ascii="Times New Roman" w:hAnsi="Times New Roman" w:eastAsia="宋体" w:cs="Times New Roman"/>
          <w:bCs/>
          <w:color w:val="000000"/>
          <w:sz w:val="28"/>
          <w:szCs w:val="28"/>
          <w:lang w:eastAsia="zh-CN"/>
        </w:rPr>
        <w:t>mg</w:t>
      </w:r>
      <w:r>
        <w:rPr>
          <w:rFonts w:hint="default" w:ascii="Times New Roman" w:hAnsi="Times New Roman" w:eastAsia="宋体" w:cs="Times New Roman"/>
          <w:bCs/>
          <w:color w:val="000000"/>
          <w:sz w:val="28"/>
          <w:szCs w:val="28"/>
        </w:rPr>
        <w:t>/m</w:t>
      </w:r>
      <w:r>
        <w:rPr>
          <w:rFonts w:hint="default" w:ascii="Times New Roman" w:hAnsi="Times New Roman" w:eastAsia="宋体" w:cs="Times New Roman"/>
          <w:bCs/>
          <w:color w:val="000000"/>
          <w:sz w:val="28"/>
          <w:szCs w:val="28"/>
          <w:vertAlign w:val="superscript"/>
        </w:rPr>
        <w:t>3</w:t>
      </w:r>
      <w:r>
        <w:rPr>
          <w:rFonts w:hint="default" w:ascii="Times New Roman" w:hAnsi="Times New Roman" w:eastAsia="宋体" w:cs="Times New Roman"/>
          <w:bCs/>
          <w:color w:val="000000"/>
          <w:sz w:val="28"/>
          <w:szCs w:val="28"/>
        </w:rPr>
        <w:t>，满足《大气污染物综合排放标准》表2中</w:t>
      </w:r>
      <w:r>
        <w:rPr>
          <w:rFonts w:hint="default" w:ascii="Times New Roman" w:hAnsi="Times New Roman" w:cs="Times New Roman"/>
          <w:bCs/>
          <w:color w:val="000000"/>
          <w:sz w:val="28"/>
          <w:szCs w:val="28"/>
          <w:lang w:eastAsia="zh-CN"/>
        </w:rPr>
        <w:t>相关</w:t>
      </w:r>
      <w:r>
        <w:rPr>
          <w:rFonts w:hint="default" w:ascii="Times New Roman" w:hAnsi="Times New Roman" w:eastAsia="宋体" w:cs="Times New Roman"/>
          <w:bCs/>
          <w:color w:val="000000"/>
          <w:sz w:val="28"/>
          <w:szCs w:val="28"/>
        </w:rPr>
        <w:t>无组织排放限值要求</w:t>
      </w:r>
      <w:r>
        <w:rPr>
          <w:rFonts w:hint="default" w:ascii="Times New Roman" w:hAnsi="Times New Roman" w:eastAsia="宋体" w:cs="Times New Roman"/>
          <w:color w:val="auto"/>
          <w:sz w:val="28"/>
          <w:szCs w:val="28"/>
          <w:lang w:val="en-US" w:eastAsia="zh-CN"/>
        </w:rPr>
        <w:t>。</w:t>
      </w:r>
    </w:p>
    <w:p>
      <w:p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val="en-US" w:eastAsia="zh-CN"/>
        </w:rPr>
        <w:t>3</w:t>
      </w:r>
      <w:r>
        <w:rPr>
          <w:rFonts w:hint="default" w:ascii="Times New Roman" w:hAnsi="Times New Roman" w:eastAsia="宋体" w:cs="Times New Roman"/>
          <w:color w:val="auto"/>
          <w:sz w:val="28"/>
          <w:szCs w:val="28"/>
        </w:rPr>
        <w:t>. 噪声</w:t>
      </w:r>
    </w:p>
    <w:p>
      <w:pPr>
        <w:spacing w:line="360" w:lineRule="auto"/>
        <w:ind w:left="216" w:leftChars="103" w:firstLine="560" w:firstLineChars="200"/>
        <w:rPr>
          <w:rFonts w:hint="default" w:ascii="Times New Roman" w:hAnsi="Times New Roman" w:eastAsia="宋体" w:cs="Times New Roman"/>
          <w:color w:val="000000"/>
          <w:kern w:val="2"/>
          <w:sz w:val="28"/>
          <w:szCs w:val="28"/>
          <w:lang w:val="en-US" w:eastAsia="zh-CN" w:bidi="ar-SA"/>
        </w:rPr>
      </w:pPr>
      <w:r>
        <w:rPr>
          <w:rFonts w:hint="default" w:ascii="Times New Roman" w:hAnsi="Times New Roman" w:eastAsia="宋体" w:cs="Times New Roman"/>
          <w:color w:val="000000"/>
          <w:kern w:val="2"/>
          <w:sz w:val="28"/>
          <w:szCs w:val="28"/>
          <w:lang w:val="en-US" w:eastAsia="zh-CN" w:bidi="ar-SA"/>
        </w:rPr>
        <w:t>验收监测期间，监测点位昼间噪声在56.0-61.5(dB)之间，监测点位夜间噪声在50.3-52.5(dB)之间，符合《工业企业厂界环境噪声排放标准》（GB12348－2008）中的3类标准限值。</w:t>
      </w:r>
    </w:p>
    <w:p>
      <w:pPr>
        <w:numPr>
          <w:ilvl w:val="0"/>
          <w:numId w:val="3"/>
        </w:numPr>
        <w:spacing w:line="360" w:lineRule="auto"/>
        <w:ind w:left="233" w:leftChars="111" w:firstLine="604" w:firstLineChars="216"/>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固体废物</w:t>
      </w:r>
    </w:p>
    <w:p>
      <w:pPr>
        <w:spacing w:line="360" w:lineRule="auto"/>
        <w:ind w:left="233" w:leftChars="111" w:firstLine="604" w:firstLineChars="216"/>
        <w:rPr>
          <w:rFonts w:hint="default" w:ascii="Times New Roman" w:hAnsi="Times New Roman" w:eastAsia="宋体" w:cs="Times New Roman"/>
          <w:color w:val="auto"/>
          <w:sz w:val="28"/>
          <w:szCs w:val="28"/>
        </w:rPr>
      </w:pPr>
      <w:r>
        <w:rPr>
          <w:rFonts w:hint="eastAsia" w:cs="Times New Roman"/>
          <w:color w:val="auto"/>
          <w:sz w:val="28"/>
          <w:szCs w:val="28"/>
          <w:lang w:val="zh-CN" w:eastAsia="zh-CN"/>
        </w:rPr>
        <w:t>同上文三、（四）</w:t>
      </w:r>
      <w:r>
        <w:rPr>
          <w:rFonts w:hint="default" w:ascii="Times New Roman" w:hAnsi="Times New Roman" w:eastAsia="宋体" w:cs="Times New Roman"/>
          <w:color w:val="auto"/>
          <w:sz w:val="28"/>
          <w:szCs w:val="28"/>
        </w:rPr>
        <w:t>。</w:t>
      </w:r>
    </w:p>
    <w:p>
      <w:pPr>
        <w:spacing w:beforeLines="50" w:line="360" w:lineRule="auto"/>
        <w:ind w:left="233" w:leftChars="111" w:firstLine="604" w:firstLineChars="216"/>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（二）环境管理调查</w:t>
      </w:r>
    </w:p>
    <w:p>
      <w:pPr>
        <w:spacing w:line="360" w:lineRule="auto"/>
        <w:ind w:left="233" w:leftChars="111" w:firstLine="604" w:firstLineChars="216"/>
        <w:rPr>
          <w:rFonts w:hint="default" w:ascii="Times New Roman" w:hAnsi="Times New Roman" w:eastAsia="宋体" w:cs="Times New Roman"/>
          <w:color w:val="auto"/>
          <w:sz w:val="28"/>
          <w:szCs w:val="28"/>
        </w:rPr>
      </w:pPr>
      <w:r>
        <w:rPr>
          <w:rFonts w:hint="eastAsia" w:cs="Times New Roman"/>
          <w:color w:val="auto"/>
          <w:sz w:val="28"/>
          <w:szCs w:val="28"/>
          <w:lang w:eastAsia="zh-CN"/>
        </w:rPr>
        <w:t>山东省阳谷县宏信包装有限公司</w:t>
      </w:r>
      <w:r>
        <w:rPr>
          <w:rFonts w:hint="default" w:ascii="Times New Roman" w:hAnsi="Times New Roman" w:eastAsia="宋体" w:cs="Times New Roman"/>
          <w:color w:val="auto"/>
          <w:sz w:val="28"/>
          <w:szCs w:val="28"/>
        </w:rPr>
        <w:t>制定了《</w:t>
      </w:r>
      <w:r>
        <w:rPr>
          <w:rFonts w:hint="eastAsia" w:cs="Times New Roman"/>
          <w:color w:val="auto"/>
          <w:sz w:val="28"/>
          <w:szCs w:val="28"/>
          <w:lang w:eastAsia="zh-CN"/>
        </w:rPr>
        <w:t>山东省阳谷县宏信包装有限公司</w:t>
      </w:r>
      <w:r>
        <w:rPr>
          <w:rFonts w:hint="default" w:ascii="Times New Roman" w:hAnsi="Times New Roman" w:eastAsia="宋体" w:cs="Times New Roman"/>
          <w:color w:val="auto"/>
          <w:sz w:val="28"/>
          <w:szCs w:val="28"/>
        </w:rPr>
        <w:t>环保管理制度》</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并设立了相关机构。日常工作由</w:t>
      </w:r>
      <w:r>
        <w:rPr>
          <w:rFonts w:hint="eastAsia" w:ascii="Times New Roman" w:hAnsi="Times New Roman" w:eastAsia="宋体" w:cs="Times New Roman"/>
          <w:color w:val="auto"/>
          <w:sz w:val="28"/>
          <w:szCs w:val="28"/>
          <w:lang w:eastAsia="zh-CN"/>
        </w:rPr>
        <w:t>办公室</w:t>
      </w:r>
      <w:r>
        <w:rPr>
          <w:rFonts w:hint="default" w:ascii="Times New Roman" w:hAnsi="Times New Roman" w:eastAsia="宋体" w:cs="Times New Roman"/>
          <w:color w:val="auto"/>
          <w:sz w:val="28"/>
          <w:szCs w:val="28"/>
        </w:rPr>
        <w:t>管理，其主要职责是：行使公司环保工作的计划、组织、指挥、协调、检查和考核管理职能，日常一切工作须对公司负责。</w:t>
      </w:r>
    </w:p>
    <w:p>
      <w:p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五、专家意见：</w:t>
      </w:r>
    </w:p>
    <w:p>
      <w:p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在今后企业环保工作中，建议企业落实以下要求。</w:t>
      </w:r>
    </w:p>
    <w:p>
      <w:pPr>
        <w:pStyle w:val="5"/>
        <w:numPr>
          <w:ilvl w:val="0"/>
          <w:numId w:val="4"/>
        </w:numPr>
        <w:spacing w:line="360" w:lineRule="auto"/>
        <w:ind w:left="233" w:leftChars="111" w:firstLine="604" w:firstLineChars="216"/>
        <w:rPr>
          <w:rFonts w:hint="default" w:ascii="Times New Roman" w:hAnsi="Times New Roman" w:eastAsia="宋体" w:cs="Times New Roman"/>
          <w:color w:val="auto"/>
          <w:sz w:val="28"/>
          <w:szCs w:val="28"/>
          <w:lang w:val="en-US" w:eastAsia="zh-CN"/>
        </w:rPr>
      </w:pPr>
      <w:r>
        <w:rPr>
          <w:rFonts w:hint="eastAsia" w:ascii="Times New Roman" w:hAnsi="Times New Roman" w:cs="Times New Roman"/>
          <w:color w:val="auto"/>
          <w:sz w:val="28"/>
          <w:szCs w:val="28"/>
          <w:lang w:val="en-US" w:eastAsia="zh-CN"/>
        </w:rPr>
        <w:t>车间地面积尘较多，注意及时清理；</w:t>
      </w:r>
    </w:p>
    <w:p>
      <w:pPr>
        <w:pStyle w:val="5"/>
        <w:numPr>
          <w:ilvl w:val="0"/>
          <w:numId w:val="4"/>
        </w:numPr>
        <w:spacing w:line="360" w:lineRule="auto"/>
        <w:ind w:left="233" w:leftChars="111" w:firstLine="604" w:firstLineChars="216"/>
        <w:rPr>
          <w:rFonts w:hint="default" w:ascii="Times New Roman" w:hAnsi="Times New Roman" w:eastAsia="宋体" w:cs="Times New Roman"/>
          <w:color w:val="auto"/>
          <w:sz w:val="28"/>
          <w:szCs w:val="28"/>
          <w:lang w:val="en-US" w:eastAsia="zh-CN"/>
        </w:rPr>
      </w:pPr>
      <w:r>
        <w:rPr>
          <w:rFonts w:hint="eastAsia" w:ascii="Times New Roman" w:hAnsi="Times New Roman" w:cs="Times New Roman"/>
          <w:color w:val="auto"/>
          <w:sz w:val="28"/>
          <w:szCs w:val="28"/>
          <w:lang w:val="en-US" w:eastAsia="zh-CN"/>
        </w:rPr>
        <w:t>抛丸区域注意收尘；</w:t>
      </w:r>
    </w:p>
    <w:p>
      <w:pPr>
        <w:pStyle w:val="5"/>
        <w:numPr>
          <w:ilvl w:val="0"/>
          <w:numId w:val="4"/>
        </w:numPr>
        <w:spacing w:line="360" w:lineRule="auto"/>
        <w:ind w:left="233" w:leftChars="111" w:firstLine="604" w:firstLineChars="216"/>
        <w:rPr>
          <w:rFonts w:hint="default" w:ascii="Times New Roman" w:hAnsi="Times New Roman" w:eastAsia="宋体" w:cs="Times New Roman"/>
          <w:color w:val="auto"/>
          <w:sz w:val="28"/>
          <w:szCs w:val="28"/>
          <w:lang w:val="en-US" w:eastAsia="zh-CN"/>
        </w:rPr>
      </w:pPr>
      <w:r>
        <w:rPr>
          <w:rFonts w:hint="eastAsia" w:ascii="Times New Roman" w:hAnsi="Times New Roman" w:cs="Times New Roman"/>
          <w:color w:val="auto"/>
          <w:sz w:val="28"/>
          <w:szCs w:val="28"/>
          <w:lang w:val="en-US" w:eastAsia="zh-CN"/>
        </w:rPr>
        <w:t>危废间清理杂物，分区存放；</w:t>
      </w:r>
    </w:p>
    <w:p>
      <w:pPr>
        <w:pStyle w:val="5"/>
        <w:numPr>
          <w:ilvl w:val="0"/>
          <w:numId w:val="4"/>
        </w:numPr>
        <w:spacing w:line="360" w:lineRule="auto"/>
        <w:ind w:left="233" w:leftChars="111" w:firstLine="604" w:firstLineChars="216"/>
        <w:rPr>
          <w:rFonts w:hint="default" w:ascii="Times New Roman" w:hAnsi="Times New Roman" w:eastAsia="宋体" w:cs="Times New Roman"/>
          <w:color w:val="auto"/>
          <w:sz w:val="28"/>
          <w:szCs w:val="28"/>
          <w:lang w:val="en-US" w:eastAsia="zh-CN"/>
        </w:rPr>
      </w:pPr>
      <w:r>
        <w:rPr>
          <w:rFonts w:hint="eastAsia" w:ascii="Times New Roman" w:hAnsi="Times New Roman" w:cs="Times New Roman"/>
          <w:color w:val="auto"/>
          <w:sz w:val="28"/>
          <w:szCs w:val="28"/>
          <w:lang w:val="en-US" w:eastAsia="zh-CN"/>
        </w:rPr>
        <w:t>排气筒缺少标识牌。</w:t>
      </w:r>
    </w:p>
    <w:p>
      <w:p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val="en-US" w:eastAsia="zh-CN"/>
        </w:rPr>
        <w:t>六、</w:t>
      </w:r>
      <w:r>
        <w:rPr>
          <w:rFonts w:hint="default" w:ascii="Times New Roman" w:hAnsi="Times New Roman" w:eastAsia="宋体" w:cs="Times New Roman"/>
          <w:color w:val="auto"/>
          <w:sz w:val="28"/>
          <w:szCs w:val="28"/>
        </w:rPr>
        <w:t>验收结论</w:t>
      </w:r>
    </w:p>
    <w:p>
      <w:pPr>
        <w:spacing w:line="360" w:lineRule="auto"/>
        <w:ind w:left="233" w:leftChars="111" w:firstLine="604" w:firstLineChars="216"/>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鉴于项目符合国家和地方相关产业标准及准入要求，用地符合当地规划，环保设施与生产配套，验收期间各项监测指标满足国家相关排放标准，</w:t>
      </w:r>
      <w:r>
        <w:rPr>
          <w:rFonts w:hint="eastAsia" w:cs="Times New Roman"/>
          <w:color w:val="auto"/>
          <w:sz w:val="28"/>
          <w:szCs w:val="28"/>
          <w:lang w:eastAsia="zh-CN"/>
        </w:rPr>
        <w:t>待企业整改完成后</w:t>
      </w:r>
      <w:r>
        <w:rPr>
          <w:rFonts w:hint="default" w:ascii="Times New Roman" w:hAnsi="Times New Roman" w:eastAsia="宋体" w:cs="Times New Roman"/>
          <w:color w:val="auto"/>
          <w:sz w:val="28"/>
          <w:szCs w:val="28"/>
        </w:rPr>
        <w:t>该项目</w:t>
      </w:r>
      <w:r>
        <w:rPr>
          <w:rFonts w:hint="eastAsia" w:cs="Times New Roman"/>
          <w:color w:val="auto"/>
          <w:sz w:val="28"/>
          <w:szCs w:val="28"/>
          <w:lang w:eastAsia="zh-CN"/>
        </w:rPr>
        <w:t>方可</w:t>
      </w:r>
      <w:r>
        <w:rPr>
          <w:rFonts w:hint="default" w:ascii="Times New Roman" w:hAnsi="Times New Roman" w:eastAsia="宋体" w:cs="Times New Roman"/>
          <w:color w:val="auto"/>
          <w:sz w:val="28"/>
          <w:szCs w:val="28"/>
        </w:rPr>
        <w:t>通过环保验收。</w:t>
      </w:r>
      <w:bookmarkStart w:id="0" w:name="_GoBack"/>
      <w:bookmarkEnd w:id="0"/>
    </w:p>
    <w:p>
      <w:pPr>
        <w:spacing w:line="360" w:lineRule="auto"/>
        <w:ind w:left="233" w:leftChars="111" w:firstLine="604" w:firstLineChars="216"/>
        <w:jc w:val="right"/>
        <w:rPr>
          <w:rFonts w:hint="default" w:ascii="Times New Roman" w:hAnsi="Times New Roman" w:eastAsia="宋体" w:cs="Times New Roman"/>
          <w:color w:val="auto"/>
          <w:sz w:val="28"/>
          <w:szCs w:val="28"/>
        </w:rPr>
      </w:pPr>
    </w:p>
    <w:p>
      <w:pPr>
        <w:spacing w:line="360" w:lineRule="auto"/>
        <w:ind w:left="233" w:leftChars="111" w:firstLine="604" w:firstLineChars="216"/>
        <w:jc w:val="right"/>
        <w:rPr>
          <w:rFonts w:hint="default" w:ascii="Times New Roman" w:hAnsi="Times New Roman" w:eastAsia="宋体" w:cs="Times New Roman"/>
          <w:color w:val="auto"/>
          <w:sz w:val="28"/>
          <w:szCs w:val="28"/>
        </w:rPr>
      </w:pPr>
      <w:r>
        <w:rPr>
          <w:rFonts w:hint="eastAsia" w:cs="Times New Roman"/>
          <w:color w:val="auto"/>
          <w:sz w:val="28"/>
          <w:szCs w:val="28"/>
          <w:lang w:eastAsia="zh-CN"/>
        </w:rPr>
        <w:t>山东省阳谷县宏信包装有限公司</w:t>
      </w:r>
      <w:r>
        <w:rPr>
          <w:rFonts w:hint="default" w:ascii="Times New Roman" w:hAnsi="Times New Roman" w:eastAsia="宋体" w:cs="Times New Roman"/>
          <w:color w:val="auto"/>
          <w:sz w:val="28"/>
          <w:szCs w:val="28"/>
        </w:rPr>
        <w:t>验收组</w:t>
      </w:r>
    </w:p>
    <w:p>
      <w:pPr>
        <w:spacing w:line="360" w:lineRule="auto"/>
        <w:ind w:left="233" w:leftChars="111" w:firstLine="604" w:firstLineChars="216"/>
        <w:jc w:val="right"/>
        <w:rPr>
          <w:rFonts w:hint="default" w:ascii="Times New Roman" w:hAnsi="Times New Roman" w:eastAsia="宋体" w:cs="Times New Roman"/>
          <w:color w:val="auto"/>
          <w:sz w:val="28"/>
          <w:szCs w:val="28"/>
          <w:highlight w:val="none"/>
          <w:lang w:eastAsia="zh-CN"/>
        </w:rPr>
      </w:pPr>
      <w:r>
        <w:rPr>
          <w:rFonts w:hint="default" w:ascii="Times New Roman" w:hAnsi="Times New Roman" w:eastAsia="宋体" w:cs="Times New Roman"/>
          <w:color w:val="auto"/>
          <w:sz w:val="28"/>
          <w:szCs w:val="28"/>
        </w:rPr>
        <w:t xml:space="preserve">          </w:t>
      </w:r>
      <w:r>
        <w:rPr>
          <w:rFonts w:hint="default" w:ascii="Times New Roman" w:hAnsi="Times New Roman" w:eastAsia="宋体" w:cs="Times New Roman"/>
          <w:color w:val="auto"/>
          <w:sz w:val="28"/>
          <w:szCs w:val="28"/>
          <w:highlight w:val="none"/>
        </w:rPr>
        <w:t xml:space="preserve">                      20</w:t>
      </w:r>
      <w:r>
        <w:rPr>
          <w:rFonts w:hint="eastAsia" w:cs="Times New Roman"/>
          <w:color w:val="auto"/>
          <w:sz w:val="28"/>
          <w:szCs w:val="28"/>
          <w:highlight w:val="none"/>
          <w:lang w:val="en-US" w:eastAsia="zh-CN"/>
        </w:rPr>
        <w:t>19</w:t>
      </w:r>
      <w:r>
        <w:rPr>
          <w:rFonts w:hint="default" w:ascii="Times New Roman" w:hAnsi="Times New Roman" w:eastAsia="宋体" w:cs="Times New Roman"/>
          <w:color w:val="auto"/>
          <w:sz w:val="28"/>
          <w:szCs w:val="28"/>
          <w:highlight w:val="none"/>
        </w:rPr>
        <w:t>年</w:t>
      </w:r>
      <w:r>
        <w:rPr>
          <w:rFonts w:hint="eastAsia" w:cs="Times New Roman"/>
          <w:color w:val="auto"/>
          <w:sz w:val="28"/>
          <w:szCs w:val="28"/>
          <w:highlight w:val="none"/>
          <w:lang w:val="en-US" w:eastAsia="zh-CN"/>
        </w:rPr>
        <w:t>12</w:t>
      </w:r>
      <w:r>
        <w:rPr>
          <w:rFonts w:hint="default" w:ascii="Times New Roman" w:hAnsi="Times New Roman" w:eastAsia="宋体" w:cs="Times New Roman"/>
          <w:color w:val="auto"/>
          <w:sz w:val="28"/>
          <w:szCs w:val="28"/>
          <w:highlight w:val="none"/>
        </w:rPr>
        <w:t>月</w:t>
      </w:r>
      <w:r>
        <w:rPr>
          <w:rFonts w:hint="eastAsia" w:cs="Times New Roman"/>
          <w:color w:val="auto"/>
          <w:sz w:val="28"/>
          <w:szCs w:val="28"/>
          <w:highlight w:val="none"/>
          <w:lang w:val="en-US" w:eastAsia="zh-CN"/>
        </w:rPr>
        <w:t>15</w:t>
      </w:r>
      <w:r>
        <w:rPr>
          <w:rFonts w:hint="default" w:ascii="Times New Roman" w:hAnsi="Times New Roman" w:eastAsia="宋体" w:cs="Times New Roman"/>
          <w:color w:val="auto"/>
          <w:sz w:val="28"/>
          <w:szCs w:val="28"/>
          <w:highlight w:val="none"/>
        </w:rPr>
        <w:t>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1F2F051"/>
    <w:multiLevelType w:val="singleLevel"/>
    <w:tmpl w:val="A1F2F051"/>
    <w:lvl w:ilvl="0" w:tentative="0">
      <w:start w:val="1"/>
      <w:numFmt w:val="decimal"/>
      <w:suff w:val="nothing"/>
      <w:lvlText w:val="%1、"/>
      <w:lvlJc w:val="left"/>
      <w:pPr>
        <w:ind w:left="560" w:leftChars="0" w:firstLine="0" w:firstLineChars="0"/>
      </w:pPr>
    </w:lvl>
  </w:abstractNum>
  <w:abstractNum w:abstractNumId="1">
    <w:nsid w:val="C65E2C2C"/>
    <w:multiLevelType w:val="singleLevel"/>
    <w:tmpl w:val="C65E2C2C"/>
    <w:lvl w:ilvl="0" w:tentative="0">
      <w:start w:val="4"/>
      <w:numFmt w:val="decimal"/>
      <w:suff w:val="space"/>
      <w:lvlText w:val="%1."/>
      <w:lvlJc w:val="left"/>
    </w:lvl>
  </w:abstractNum>
  <w:abstractNum w:abstractNumId="2">
    <w:nsid w:val="EC370676"/>
    <w:multiLevelType w:val="singleLevel"/>
    <w:tmpl w:val="EC370676"/>
    <w:lvl w:ilvl="0" w:tentative="0">
      <w:start w:val="1"/>
      <w:numFmt w:val="decimal"/>
      <w:suff w:val="space"/>
      <w:lvlText w:val="%1."/>
      <w:lvlJc w:val="left"/>
    </w:lvl>
  </w:abstractNum>
  <w:abstractNum w:abstractNumId="3">
    <w:nsid w:val="4401761E"/>
    <w:multiLevelType w:val="singleLevel"/>
    <w:tmpl w:val="4401761E"/>
    <w:lvl w:ilvl="0" w:tentative="0">
      <w:start w:val="2"/>
      <w:numFmt w:val="decimal"/>
      <w:suff w:val="space"/>
      <w:lvlText w:val="%1."/>
      <w:lvlJc w:val="left"/>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A67464"/>
    <w:rsid w:val="02E1230E"/>
    <w:rsid w:val="0363342C"/>
    <w:rsid w:val="0400088B"/>
    <w:rsid w:val="0705220E"/>
    <w:rsid w:val="0A775B6C"/>
    <w:rsid w:val="0B4B4E54"/>
    <w:rsid w:val="0BB105F9"/>
    <w:rsid w:val="0BCD78E3"/>
    <w:rsid w:val="0BD4352F"/>
    <w:rsid w:val="0D002E61"/>
    <w:rsid w:val="0E9F521D"/>
    <w:rsid w:val="110D6D4E"/>
    <w:rsid w:val="13242E95"/>
    <w:rsid w:val="168D080A"/>
    <w:rsid w:val="17073D8B"/>
    <w:rsid w:val="188E6607"/>
    <w:rsid w:val="18D05E89"/>
    <w:rsid w:val="19BD6A9B"/>
    <w:rsid w:val="1AAF6CA7"/>
    <w:rsid w:val="1B753DC5"/>
    <w:rsid w:val="1DCD1CD5"/>
    <w:rsid w:val="1E9D1B02"/>
    <w:rsid w:val="20F95110"/>
    <w:rsid w:val="21E62141"/>
    <w:rsid w:val="23253252"/>
    <w:rsid w:val="24DD3549"/>
    <w:rsid w:val="27420539"/>
    <w:rsid w:val="27776D4F"/>
    <w:rsid w:val="284C33EF"/>
    <w:rsid w:val="286B6E9D"/>
    <w:rsid w:val="2A636C42"/>
    <w:rsid w:val="2BD129D7"/>
    <w:rsid w:val="2BFB35B9"/>
    <w:rsid w:val="2C8345D6"/>
    <w:rsid w:val="2DD941F5"/>
    <w:rsid w:val="2DE61E9D"/>
    <w:rsid w:val="2E594393"/>
    <w:rsid w:val="31572BC2"/>
    <w:rsid w:val="322E30FB"/>
    <w:rsid w:val="33E80446"/>
    <w:rsid w:val="35A21894"/>
    <w:rsid w:val="35CA7C00"/>
    <w:rsid w:val="371221B6"/>
    <w:rsid w:val="3B2962D5"/>
    <w:rsid w:val="3B9345B4"/>
    <w:rsid w:val="3C495586"/>
    <w:rsid w:val="3C614E95"/>
    <w:rsid w:val="3C8D2464"/>
    <w:rsid w:val="3D216C63"/>
    <w:rsid w:val="3D481CA9"/>
    <w:rsid w:val="42115E1E"/>
    <w:rsid w:val="425A3055"/>
    <w:rsid w:val="42D02360"/>
    <w:rsid w:val="42ED0B8D"/>
    <w:rsid w:val="440B2C50"/>
    <w:rsid w:val="45B12AB5"/>
    <w:rsid w:val="4BC32318"/>
    <w:rsid w:val="4D966CB6"/>
    <w:rsid w:val="502E49CB"/>
    <w:rsid w:val="51603323"/>
    <w:rsid w:val="52082039"/>
    <w:rsid w:val="520B1012"/>
    <w:rsid w:val="56DD1623"/>
    <w:rsid w:val="5B994AD0"/>
    <w:rsid w:val="5BB97A85"/>
    <w:rsid w:val="5C705EEE"/>
    <w:rsid w:val="5D580A9C"/>
    <w:rsid w:val="5F0C4CFF"/>
    <w:rsid w:val="602A22C2"/>
    <w:rsid w:val="64C4763E"/>
    <w:rsid w:val="65826A80"/>
    <w:rsid w:val="66FB5067"/>
    <w:rsid w:val="6A4209DB"/>
    <w:rsid w:val="6ABA50EB"/>
    <w:rsid w:val="6DEB0CC4"/>
    <w:rsid w:val="6E620EC2"/>
    <w:rsid w:val="710F5340"/>
    <w:rsid w:val="72126728"/>
    <w:rsid w:val="724713C7"/>
    <w:rsid w:val="72964393"/>
    <w:rsid w:val="72C90F73"/>
    <w:rsid w:val="73223BF6"/>
    <w:rsid w:val="7593546D"/>
    <w:rsid w:val="75C3338A"/>
    <w:rsid w:val="76AB541C"/>
    <w:rsid w:val="77930543"/>
    <w:rsid w:val="7F330A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semiHidden/>
    <w:unhideWhenUsed/>
    <w:qFormat/>
    <w:uiPriority w:val="99"/>
    <w:pPr>
      <w:jc w:val="left"/>
    </w:pPr>
  </w:style>
  <w:style w:type="paragraph" w:styleId="4">
    <w:name w:val="Block Text"/>
    <w:basedOn w:val="1"/>
    <w:semiHidden/>
    <w:unhideWhenUsed/>
    <w:qFormat/>
    <w:uiPriority w:val="99"/>
    <w:pPr>
      <w:adjustRightInd/>
      <w:ind w:left="525" w:leftChars="250" w:right="685" w:rightChars="326" w:firstLine="560"/>
      <w:jc w:val="both"/>
      <w:textAlignment w:val="auto"/>
    </w:pPr>
    <w:rPr>
      <w:sz w:val="28"/>
      <w:szCs w:val="24"/>
    </w:rPr>
  </w:style>
  <w:style w:type="paragraph" w:styleId="5">
    <w:name w:val="Plain Text"/>
    <w:basedOn w:val="1"/>
    <w:semiHidden/>
    <w:unhideWhenUsed/>
    <w:qFormat/>
    <w:uiPriority w:val="99"/>
    <w:rPr>
      <w:rFonts w:ascii="宋体" w:hAnsi="Courier New" w:cs="Courier New"/>
      <w:szCs w:val="21"/>
    </w:rPr>
  </w:style>
  <w:style w:type="table" w:styleId="7">
    <w:name w:val="Table Grid"/>
    <w:basedOn w:val="6"/>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9">
    <w:name w:val="List Paragraph"/>
    <w:basedOn w:val="1"/>
    <w:qFormat/>
    <w:uiPriority w:val="99"/>
    <w:pPr>
      <w:ind w:firstLine="420" w:firstLineChars="200"/>
    </w:pPr>
  </w:style>
  <w:style w:type="paragraph" w:customStyle="1" w:styleId="10">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一只呆橙z</cp:lastModifiedBy>
  <dcterms:modified xsi:type="dcterms:W3CDTF">2020-04-02T09:10:58Z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