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60"/>
        </w:tabs>
        <w:spacing w:line="360" w:lineRule="auto"/>
        <w:ind w:left="298" w:leftChars="142"/>
        <w:jc w:val="center"/>
        <w:rPr>
          <w:rFonts w:hint="eastAsia" w:cs="Times New Roman" w:asciiTheme="majorEastAsia" w:hAnsiTheme="majorEastAsia" w:eastAsiaTheme="majorEastAsia"/>
          <w:b/>
          <w:sz w:val="28"/>
          <w:szCs w:val="28"/>
          <w:lang w:eastAsia="zh-CN"/>
        </w:rPr>
      </w:pPr>
      <w:r>
        <w:rPr>
          <w:rFonts w:hint="eastAsia" w:cs="Times New Roman" w:asciiTheme="majorEastAsia" w:hAnsiTheme="majorEastAsia" w:eastAsiaTheme="majorEastAsia"/>
          <w:b/>
          <w:sz w:val="28"/>
          <w:szCs w:val="28"/>
          <w:lang w:eastAsia="zh-CN"/>
        </w:rPr>
        <w:t xml:space="preserve">濮阳市东大食品有限公司燃气锅炉供蒸汽项目   </w:t>
      </w:r>
    </w:p>
    <w:p>
      <w:pPr>
        <w:tabs>
          <w:tab w:val="left" w:pos="360"/>
        </w:tabs>
        <w:spacing w:line="360" w:lineRule="auto"/>
        <w:ind w:left="298" w:leftChars="142"/>
        <w:jc w:val="center"/>
        <w:rPr>
          <w:rFonts w:asciiTheme="majorEastAsia" w:hAnsiTheme="majorEastAsia" w:eastAsiaTheme="majorEastAsia"/>
          <w:b/>
          <w:sz w:val="28"/>
          <w:szCs w:val="28"/>
        </w:rPr>
      </w:pPr>
      <w:r>
        <w:rPr>
          <w:rFonts w:asciiTheme="majorEastAsia" w:hAnsiTheme="majorEastAsia" w:eastAsiaTheme="majorEastAsia"/>
          <w:b/>
          <w:sz w:val="28"/>
          <w:szCs w:val="28"/>
        </w:rPr>
        <w:t>竣工环境保护验收现场检查及验收工作组验收意见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eastAsia" w:cs="Times New Roman" w:eastAsiaTheme="majorEastAsia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cs="Times New Roman" w:eastAsiaTheme="majorEastAsia"/>
          <w:sz w:val="28"/>
          <w:szCs w:val="28"/>
          <w:highlight w:val="none"/>
        </w:rPr>
        <w:t>2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019年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12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月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2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日，</w:t>
      </w:r>
      <w:r>
        <w:rPr>
          <w:rFonts w:hint="eastAsia" w:cs="Times New Roman" w:eastAsiaTheme="majorEastAsia"/>
          <w:sz w:val="28"/>
          <w:szCs w:val="28"/>
          <w:lang w:eastAsia="zh-CN"/>
        </w:rPr>
        <w:t>濮阳市东大食品有限公司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组织召开</w:t>
      </w:r>
      <w:r>
        <w:rPr>
          <w:rFonts w:hint="eastAsia" w:cs="Times New Roman" w:eastAsiaTheme="majorEastAsia"/>
          <w:sz w:val="28"/>
          <w:szCs w:val="28"/>
          <w:lang w:eastAsia="zh-CN"/>
        </w:rPr>
        <w:t>濮阳市东大食品有限公司燃气锅炉供蒸汽项目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竣工环境保护验收现场检查及验收会。验收组由业主单位（</w:t>
      </w:r>
      <w:r>
        <w:rPr>
          <w:rFonts w:hint="eastAsia" w:cs="Times New Roman" w:eastAsiaTheme="majorEastAsia"/>
          <w:sz w:val="28"/>
          <w:szCs w:val="28"/>
          <w:lang w:eastAsia="zh-CN"/>
        </w:rPr>
        <w:t>濮阳市东大食品有限公司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）、监测单位（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山东聊和环保科技有限公司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）并特邀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名技术专家组成。</w:t>
      </w:r>
    </w:p>
    <w:p>
      <w:pPr>
        <w:tabs>
          <w:tab w:val="left" w:pos="360"/>
        </w:tabs>
        <w:spacing w:line="360" w:lineRule="auto"/>
        <w:ind w:firstLine="560" w:firstLineChars="200"/>
        <w:jc w:val="both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验收组现场核实了本项目环保工作落实情况，根据项目竣工环境保护验收监测报告并对照《建设项目环境保护管理条例》、《建设项目竣工环境保护验收暂行办法》，依照国家有关法律法规、建设项目竣工环境保护验收技术规范、本项目环境影响评价报告表和审批部门审批决定等</w:t>
      </w:r>
      <w:r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  <w:t>，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对本项目进行验收。经研究形成验收意见如下：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一、工程建设基本情况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98" w:leftChars="142" w:firstLine="562" w:firstLineChars="20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（一）建设地点、规模、主要建设内容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outlineLvl w:val="9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项目建设地点位于</w:t>
      </w:r>
      <w:r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  <w:t>濮阳市南乐县产业集聚区鸿宇路濮阳市东大食品有限公司院内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，占地面积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200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m</w:t>
      </w:r>
      <w:r>
        <w:rPr>
          <w:rFonts w:hint="default" w:ascii="Times New Roman" w:hAnsi="Times New Roman" w:cs="Times New Roman" w:eastAsiaTheme="majorEastAsia"/>
          <w:sz w:val="28"/>
          <w:szCs w:val="28"/>
          <w:vertAlign w:val="superscript"/>
        </w:rPr>
        <w:t>2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。</w:t>
      </w:r>
      <w:r>
        <w:rPr>
          <w:rFonts w:hint="eastAsia" w:cs="Times New Roman" w:eastAsiaTheme="majorEastAsia"/>
          <w:sz w:val="28"/>
          <w:szCs w:val="28"/>
          <w:lang w:eastAsia="zh-CN"/>
        </w:rPr>
        <w:t>企业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投资</w:t>
      </w:r>
      <w:r>
        <w:rPr>
          <w:rFonts w:hint="eastAsia" w:cs="Times New Roman"/>
          <w:bCs/>
          <w:color w:val="000000"/>
          <w:sz w:val="28"/>
          <w:szCs w:val="28"/>
          <w:lang w:val="en-US" w:eastAsia="zh-CN"/>
        </w:rPr>
        <w:t>19.4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万元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建设</w:t>
      </w:r>
      <w:r>
        <w:rPr>
          <w:rFonts w:hint="eastAsia" w:cs="Times New Roman" w:eastAsiaTheme="majorEastAsia"/>
          <w:sz w:val="28"/>
          <w:szCs w:val="28"/>
          <w:lang w:eastAsia="zh-CN"/>
        </w:rPr>
        <w:t>濮阳市东大食品有限公司燃气锅炉供蒸汽项目</w:t>
      </w:r>
      <w:r>
        <w:rPr>
          <w:rFonts w:hint="default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，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设计产能为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val="en-US" w:eastAsia="zh-CN"/>
        </w:rPr>
        <w:t>年产1400吨蒸汽，实际产能年产1400吨蒸汽</w:t>
      </w:r>
      <w:r>
        <w:rPr>
          <w:rFonts w:hint="eastAsia" w:ascii="Times New Roman" w:hAnsi="Times New Roman" w:eastAsia="宋体" w:cs="Times New Roman"/>
          <w:bCs/>
          <w:color w:val="000000"/>
          <w:sz w:val="28"/>
          <w:szCs w:val="28"/>
          <w:lang w:val="en-US" w:eastAsia="zh-CN"/>
        </w:rPr>
        <w:t>。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本次验收范围为</w:t>
      </w:r>
      <w:r>
        <w:rPr>
          <w:rFonts w:hint="eastAsia" w:cs="Times New Roman" w:eastAsiaTheme="majorEastAsia"/>
          <w:sz w:val="28"/>
          <w:szCs w:val="28"/>
          <w:lang w:eastAsia="zh-CN"/>
        </w:rPr>
        <w:t>濮阳市东大食品有限公司燃气锅炉供蒸汽项目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及其配套环保设施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。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建设性质为新建，项目生产规模为：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val="en-US" w:eastAsia="zh-CN"/>
        </w:rPr>
        <w:t>年产1400吨蒸汽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。</w:t>
      </w:r>
    </w:p>
    <w:p>
      <w:pPr>
        <w:tabs>
          <w:tab w:val="left" w:pos="360"/>
        </w:tabs>
        <w:spacing w:line="360" w:lineRule="auto"/>
        <w:ind w:firstLine="689" w:firstLineChars="245"/>
        <w:jc w:val="left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（二）环保审批情况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濮阳市东大食品有限公司燃气锅炉供蒸汽项目属于未批先建，濮阳市环境保护局对其进行了处罚（濮环罚决字</w:t>
      </w:r>
      <w:r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  <w:t>[2019]第3号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）。企业于2019年7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月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委托</w:t>
      </w:r>
      <w:r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  <w:t>北京青草绿洲环保科技有限公司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编制了《</w:t>
      </w:r>
      <w:r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  <w:t>濮阳市东大食品有限公司燃气锅炉供蒸汽项目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环境影响报告表》，201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9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年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7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月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24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日</w:t>
      </w:r>
      <w:r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  <w:t>南乐县环境保护局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以</w:t>
      </w:r>
      <w:r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  <w:t>乐环审表[2019]34号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对其进行了审批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。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201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9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年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8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月份公司委托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山东聊和环保科技有限公司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进行该项目的环保验收监测工作，接受委托后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山东聊和环保科技有限公司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组织有关技术人员进行现场踏勘，依据监测技术规范制定了环保验收监测方案，并于201</w:t>
      </w: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9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年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9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月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8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日</w:t>
      </w:r>
      <w:r>
        <w:rPr>
          <w:rFonts w:hint="eastAsia" w:cs="Times New Roman" w:eastAsiaTheme="majorEastAsia"/>
          <w:sz w:val="28"/>
          <w:szCs w:val="28"/>
          <w:lang w:eastAsia="zh-CN"/>
        </w:rPr>
        <w:t>和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201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9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年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9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月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9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日对厂区有关污染源进行了监测，根据验收监测结果和现场检查情况编制了本项目验收监测报告。</w:t>
      </w:r>
    </w:p>
    <w:p>
      <w:pPr>
        <w:tabs>
          <w:tab w:val="left" w:pos="360"/>
        </w:tabs>
        <w:spacing w:line="360" w:lineRule="auto"/>
        <w:ind w:firstLine="422" w:firstLineChars="150"/>
        <w:jc w:val="left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（三）投资情况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实际总投资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19.4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万元，其中环保投资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15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万元。占总投</w:t>
      </w:r>
      <w:r>
        <w:rPr>
          <w:rFonts w:hint="eastAsia" w:cs="Times New Roman" w:eastAsiaTheme="majorEastAsia"/>
          <w:sz w:val="28"/>
          <w:szCs w:val="28"/>
          <w:lang w:val="en-US" w:eastAsia="zh-CN"/>
        </w:rPr>
        <w:t>77.3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％。</w:t>
      </w:r>
    </w:p>
    <w:p>
      <w:pPr>
        <w:tabs>
          <w:tab w:val="left" w:pos="360"/>
        </w:tabs>
        <w:spacing w:line="360" w:lineRule="auto"/>
        <w:ind w:firstLine="422" w:firstLineChars="150"/>
        <w:jc w:val="left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（四）验收范围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eastAsia" w:cs="Times New Roman" w:eastAsiaTheme="majorEastAsia"/>
          <w:sz w:val="28"/>
          <w:szCs w:val="28"/>
          <w:lang w:eastAsia="zh-CN"/>
        </w:rPr>
        <w:t>濮阳市东大食品有限公司燃气锅炉供蒸汽项目</w:t>
      </w:r>
      <w:r>
        <w:rPr>
          <w:rFonts w:hint="default" w:ascii="Times New Roman" w:hAnsi="Times New Roman" w:cs="Times New Roman" w:eastAsiaTheme="majorEastAsia"/>
          <w:sz w:val="28"/>
          <w:szCs w:val="28"/>
          <w:lang w:val="en-US" w:eastAsia="zh-CN"/>
        </w:rPr>
        <w:t>及其配套环保设施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。</w:t>
      </w:r>
    </w:p>
    <w:p>
      <w:pPr>
        <w:spacing w:line="360" w:lineRule="auto"/>
        <w:ind w:firstLine="562" w:firstLineChars="200"/>
        <w:jc w:val="left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二、工程变更情况</w:t>
      </w:r>
    </w:p>
    <w:p>
      <w:pPr>
        <w:pStyle w:val="1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560" w:firstLineChars="200"/>
        <w:textAlignment w:val="auto"/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lang w:val="en-US" w:eastAsia="zh-CN"/>
        </w:rPr>
        <w:t>原环评中锅炉无烟气再循环系统，实际建设过程中有烟气再循环系统，该变动属于工艺优化，不属于重大变更。</w:t>
      </w:r>
    </w:p>
    <w:p>
      <w:pPr>
        <w:pStyle w:val="1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560" w:firstLineChars="200"/>
        <w:textAlignment w:val="auto"/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  <w:t>根据《关于印发环评管理中部分行业建设项目重大变动清单的通知》环办[2015]52号，以上变动不属于重大变更。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三、环境保护设施落实情况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15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（一）废水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 w:bidi="ar-SA"/>
        </w:rPr>
        <w:t>本项目无新增定员，无新增生活废水，产生的废水主要为软化废水、离子交换树脂再生废水和锅炉排污水，属于清洁下水，用于厂区地面洒水。</w:t>
      </w:r>
    </w:p>
    <w:p>
      <w:pPr>
        <w:tabs>
          <w:tab w:val="left" w:pos="360"/>
        </w:tabs>
        <w:spacing w:line="360" w:lineRule="auto"/>
        <w:ind w:firstLine="422" w:firstLineChars="150"/>
        <w:jc w:val="left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（二）废气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360" w:lineRule="auto"/>
        <w:ind w:firstLine="560" w:firstLineChars="200"/>
        <w:jc w:val="left"/>
        <w:textAlignment w:val="auto"/>
        <w:rPr>
          <w:rFonts w:hint="eastAsia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lang w:val="en-US" w:eastAsia="zh-CN" w:bidi="ar-SA"/>
        </w:rPr>
        <w:t>本项目产生的废气主要为天然气燃烧废气，在安装超低氮燃烧器的情况下通过一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lang w:val="en-US" w:eastAsia="zh-CN" w:bidi="ar-SA"/>
        </w:rPr>
        <w:t>根15m高排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lang w:val="en-US" w:eastAsia="zh-CN" w:bidi="ar-SA"/>
        </w:rPr>
        <w:t>气筒排放。</w:t>
      </w:r>
    </w:p>
    <w:p>
      <w:pPr>
        <w:tabs>
          <w:tab w:val="left" w:pos="360"/>
        </w:tabs>
        <w:spacing w:line="360" w:lineRule="auto"/>
        <w:ind w:firstLine="422" w:firstLineChars="150"/>
        <w:jc w:val="left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（三）噪声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548" w:firstLineChars="196"/>
        <w:jc w:val="both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lang w:val="en-US" w:eastAsia="zh-CN" w:bidi="ar-SA"/>
        </w:rPr>
        <w:t>项目噪声源主要为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lang w:val="en-US" w:eastAsia="zh-CN" w:bidi="ar-SA"/>
        </w:rPr>
        <w:t>锅炉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lang w:val="en-US" w:eastAsia="zh-CN" w:bidi="ar-SA"/>
        </w:rPr>
        <w:t>等设备运行时产生的噪声，所有设备均设置于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lang w:val="en-US" w:eastAsia="zh-CN" w:bidi="ar-SA"/>
        </w:rPr>
        <w:t>锅炉房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lang w:val="en-US" w:eastAsia="zh-CN" w:bidi="ar-SA"/>
        </w:rPr>
        <w:t>内，经过基础减振，再经过厂房隔声、距离衰减等措施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lang w:val="en-US" w:eastAsia="zh-CN" w:bidi="ar-SA"/>
        </w:rPr>
        <w:t>，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lang w:val="en-US" w:eastAsia="zh-CN" w:bidi="ar-SA"/>
        </w:rPr>
        <w:t>降低对周围环境的影响。</w:t>
      </w:r>
    </w:p>
    <w:p>
      <w:pPr>
        <w:tabs>
          <w:tab w:val="left" w:pos="360"/>
        </w:tabs>
        <w:spacing w:line="360" w:lineRule="auto"/>
        <w:ind w:firstLine="422" w:firstLineChars="150"/>
        <w:jc w:val="left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（四）固体废物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lang w:val="en-US" w:eastAsia="zh-CN" w:bidi="ar-SA"/>
        </w:rPr>
        <w:t>本项目不新增员工，无生活垃圾产生，固体废物主要为软化器定期更换的废离子交换树脂，废离子交换树脂</w:t>
      </w:r>
      <w:r>
        <w:rPr>
          <w:rFonts w:hint="eastAsia" w:cs="Times New Roman"/>
          <w:b w:val="0"/>
          <w:bCs w:val="0"/>
          <w:color w:val="auto"/>
          <w:kern w:val="0"/>
          <w:sz w:val="28"/>
          <w:szCs w:val="28"/>
          <w:lang w:val="en-US" w:eastAsia="zh-CN" w:bidi="ar-SA"/>
        </w:rPr>
        <w:t>属于危险废物，暂时未产生，产生时交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lang w:val="en-US" w:eastAsia="zh-CN" w:bidi="ar-SA"/>
        </w:rPr>
        <w:t>由</w:t>
      </w:r>
      <w:r>
        <w:rPr>
          <w:rFonts w:hint="eastAsia" w:cs="Times New Roman"/>
          <w:b w:val="0"/>
          <w:bCs w:val="0"/>
          <w:color w:val="auto"/>
          <w:kern w:val="0"/>
          <w:sz w:val="28"/>
          <w:szCs w:val="28"/>
          <w:lang w:val="en-US" w:eastAsia="zh-CN" w:bidi="ar-SA"/>
        </w:rPr>
        <w:t>有资质单位处理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0"/>
          <w:sz w:val="28"/>
          <w:szCs w:val="28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四、验收监测结果</w:t>
      </w:r>
    </w:p>
    <w:p>
      <w:pPr>
        <w:keepNext w:val="0"/>
        <w:keepLines w:val="0"/>
        <w:pageBreakBefore w:val="0"/>
        <w:widowControl w:val="0"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150"/>
        <w:jc w:val="left"/>
        <w:textAlignment w:val="auto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（一）环保设施运行检测结果</w:t>
      </w:r>
    </w:p>
    <w:p>
      <w:pPr>
        <w:widowControl/>
        <w:spacing w:line="360" w:lineRule="auto"/>
        <w:ind w:firstLine="560" w:firstLineChars="200"/>
        <w:jc w:val="left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山东聊和环保科技有限公司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出具的《</w:t>
      </w:r>
      <w:r>
        <w:rPr>
          <w:rFonts w:hint="eastAsia" w:cs="Times New Roman" w:eastAsiaTheme="majorEastAsia"/>
          <w:sz w:val="28"/>
          <w:szCs w:val="28"/>
          <w:lang w:eastAsia="zh-CN"/>
        </w:rPr>
        <w:t>濮阳市东大食品有限公司燃气锅炉供蒸汽项目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竣工环境保护验收监测报告》监测结果表明：</w:t>
      </w:r>
    </w:p>
    <w:p>
      <w:pPr>
        <w:spacing w:line="360" w:lineRule="auto"/>
        <w:ind w:left="141" w:leftChars="67" w:firstLine="697" w:firstLineChars="249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1.废气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lang w:val="en-US" w:eastAsia="zh-CN"/>
        </w:rPr>
        <w:t>验收监测期间，</w:t>
      </w:r>
      <w:r>
        <w:rPr>
          <w:rFonts w:hint="eastAsia" w:ascii="Times New Roman" w:hAnsi="Times New Roman" w:eastAsia="宋体" w:cs="Times New Roman"/>
          <w:b w:val="0"/>
          <w:bCs w:val="0"/>
          <w:sz w:val="28"/>
          <w:szCs w:val="28"/>
          <w:vertAlign w:val="baseline"/>
          <w:lang w:val="en-US" w:eastAsia="zh-CN"/>
        </w:rPr>
        <w:t>燃气废气颗粒物、SO</w:t>
      </w:r>
      <w:r>
        <w:rPr>
          <w:rFonts w:hint="eastAsia" w:ascii="Times New Roman" w:hAnsi="Times New Roman" w:eastAsia="宋体" w:cs="Times New Roman"/>
          <w:b w:val="0"/>
          <w:bCs w:val="0"/>
          <w:sz w:val="28"/>
          <w:szCs w:val="28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b w:val="0"/>
          <w:bCs w:val="0"/>
          <w:sz w:val="28"/>
          <w:szCs w:val="28"/>
          <w:vertAlign w:val="baseline"/>
          <w:lang w:val="en-US" w:eastAsia="zh-CN"/>
        </w:rPr>
        <w:t>、NOx</w:t>
      </w: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lang w:val="en-US" w:eastAsia="zh-CN"/>
        </w:rPr>
        <w:t>最大监测浓度及排放速率分别为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szCs w:val="28"/>
          <w:highlight w:val="none"/>
          <w:lang w:val="en-US" w:eastAsia="zh-CN"/>
        </w:rPr>
        <w:t>2.7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highlight w:val="none"/>
          <w:lang w:val="en-US" w:eastAsia="zh-CN"/>
        </w:rPr>
        <w:t>mg/m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highlight w:val="none"/>
          <w:vertAlign w:val="superscript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highlight w:val="none"/>
          <w:vertAlign w:val="baseline"/>
          <w:lang w:val="en-US" w:eastAsia="zh-CN"/>
        </w:rPr>
        <w:t>、</w:t>
      </w: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vertAlign w:val="baseline"/>
          <w:lang w:val="en-US" w:eastAsia="zh-CN"/>
        </w:rPr>
        <w:t>5.7</w:t>
      </w:r>
      <w:r>
        <w:rPr>
          <w:rFonts w:hint="default" w:ascii="Times New Roman" w:hAnsi="Times New Roman" w:cs="Times New Roman"/>
          <w:b w:val="0"/>
          <w:bCs w:val="0"/>
          <w:color w:val="auto"/>
          <w:sz w:val="28"/>
          <w:szCs w:val="28"/>
          <w:vertAlign w:val="baseline"/>
          <w:lang w:val="en-US" w:eastAsia="zh-CN"/>
        </w:rPr>
        <w:t>×10</w:t>
      </w:r>
      <w:r>
        <w:rPr>
          <w:rFonts w:hint="default" w:ascii="Times New Roman" w:hAnsi="Times New Roman" w:cs="Times New Roman"/>
          <w:b w:val="0"/>
          <w:bCs w:val="0"/>
          <w:color w:val="auto"/>
          <w:sz w:val="28"/>
          <w:szCs w:val="28"/>
          <w:vertAlign w:val="superscript"/>
          <w:lang w:val="en-US" w:eastAsia="zh-CN"/>
        </w:rPr>
        <w:t>-3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highlight w:val="none"/>
          <w:vertAlign w:val="baseline"/>
          <w:lang w:val="en-US" w:eastAsia="zh-CN"/>
        </w:rPr>
        <w:t>kg/h，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szCs w:val="28"/>
          <w:highlight w:val="none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highlight w:val="none"/>
          <w:lang w:val="en-US" w:eastAsia="zh-CN"/>
        </w:rPr>
        <w:t>mg/m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highlight w:val="none"/>
          <w:vertAlign w:val="superscript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highlight w:val="none"/>
          <w:vertAlign w:val="baseline"/>
          <w:lang w:val="en-US" w:eastAsia="zh-CN"/>
        </w:rPr>
        <w:t>、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szCs w:val="28"/>
          <w:vertAlign w:val="baseline"/>
          <w:lang w:val="en-US" w:eastAsia="zh-CN"/>
        </w:rPr>
        <w:t>9</w:t>
      </w:r>
      <w:r>
        <w:rPr>
          <w:rFonts w:hint="default" w:ascii="Times New Roman" w:hAnsi="Times New Roman" w:cs="Times New Roman"/>
          <w:b w:val="0"/>
          <w:bCs w:val="0"/>
          <w:color w:val="auto"/>
          <w:sz w:val="28"/>
          <w:szCs w:val="28"/>
          <w:vertAlign w:val="baseline"/>
          <w:lang w:val="en-US" w:eastAsia="zh-CN"/>
        </w:rPr>
        <w:t>×10</w:t>
      </w:r>
      <w:r>
        <w:rPr>
          <w:rFonts w:hint="default" w:ascii="Times New Roman" w:hAnsi="Times New Roman" w:cs="Times New Roman"/>
          <w:b w:val="0"/>
          <w:bCs w:val="0"/>
          <w:color w:val="auto"/>
          <w:sz w:val="28"/>
          <w:szCs w:val="28"/>
          <w:vertAlign w:val="superscript"/>
          <w:lang w:val="en-US" w:eastAsia="zh-CN"/>
        </w:rPr>
        <w:t>-3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highlight w:val="none"/>
          <w:vertAlign w:val="baseline"/>
          <w:lang w:val="en-US" w:eastAsia="zh-CN"/>
        </w:rPr>
        <w:t>kg/h，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szCs w:val="28"/>
          <w:highlight w:val="none"/>
          <w:lang w:val="en-US" w:eastAsia="zh-CN"/>
        </w:rPr>
        <w:t>30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highlight w:val="none"/>
          <w:lang w:val="en-US" w:eastAsia="zh-CN"/>
        </w:rPr>
        <w:t>mg/m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highlight w:val="none"/>
          <w:vertAlign w:val="superscript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highlight w:val="none"/>
          <w:vertAlign w:val="baseline"/>
          <w:lang w:val="en-US" w:eastAsia="zh-CN"/>
        </w:rPr>
        <w:t>、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szCs w:val="28"/>
          <w:highlight w:val="none"/>
          <w:vertAlign w:val="baseline"/>
          <w:lang w:val="en-US" w:eastAsia="zh-CN"/>
        </w:rPr>
        <w:t>0.043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highlight w:val="none"/>
          <w:vertAlign w:val="baseline"/>
          <w:lang w:val="en-US" w:eastAsia="zh-CN"/>
        </w:rPr>
        <w:t>kg/h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8"/>
          <w:szCs w:val="28"/>
          <w:highlight w:val="none"/>
          <w:vertAlign w:val="baseline"/>
          <w:lang w:val="en-US" w:eastAsia="zh-CN"/>
        </w:rPr>
        <w:t>，</w:t>
      </w:r>
      <w:r>
        <w:rPr>
          <w:rFonts w:hint="eastAsia" w:ascii="Times New Roman" w:hAnsi="Times New Roman" w:eastAsia="宋体" w:cs="Times New Roman"/>
          <w:b w:val="0"/>
          <w:bCs w:val="0"/>
          <w:sz w:val="28"/>
          <w:szCs w:val="28"/>
          <w:highlight w:val="none"/>
          <w:vertAlign w:val="baseline"/>
          <w:lang w:val="en-US" w:eastAsia="zh-CN"/>
        </w:rPr>
        <w:t>满足</w:t>
      </w:r>
      <w:r>
        <w:rPr>
          <w:rFonts w:hint="eastAsia" w:ascii="Times New Roman" w:hAnsi="Times New Roman" w:cs="Times New Roman"/>
          <w:b w:val="0"/>
          <w:bCs w:val="0"/>
          <w:kern w:val="2"/>
          <w:sz w:val="28"/>
          <w:szCs w:val="28"/>
          <w:u w:val="none"/>
          <w:lang w:val="en-US" w:eastAsia="zh-CN" w:bidi="ar-SA"/>
        </w:rPr>
        <w:t>《锅炉大气污染物排放标准》（</w:t>
      </w:r>
      <w:r>
        <w:rPr>
          <w:rFonts w:hint="default" w:ascii="Times New Roman" w:hAnsi="Times New Roman" w:cs="Times New Roman"/>
          <w:b w:val="0"/>
          <w:bCs w:val="0"/>
          <w:kern w:val="2"/>
          <w:sz w:val="28"/>
          <w:szCs w:val="28"/>
          <w:u w:val="none"/>
          <w:lang w:val="en-US" w:eastAsia="zh-CN" w:bidi="ar-SA"/>
        </w:rPr>
        <w:t>GB13271-2014</w:t>
      </w:r>
      <w:r>
        <w:rPr>
          <w:rFonts w:hint="eastAsia" w:ascii="Times New Roman" w:hAnsi="Times New Roman" w:cs="Times New Roman"/>
          <w:b w:val="0"/>
          <w:bCs w:val="0"/>
          <w:kern w:val="2"/>
          <w:sz w:val="28"/>
          <w:szCs w:val="28"/>
          <w:u w:val="none"/>
          <w:lang w:val="en-US" w:eastAsia="zh-CN" w:bidi="ar-SA"/>
        </w:rPr>
        <w:t>）表</w:t>
      </w:r>
      <w:r>
        <w:rPr>
          <w:rFonts w:hint="default" w:ascii="Times New Roman" w:hAnsi="Times New Roman" w:cs="Times New Roman"/>
          <w:b w:val="0"/>
          <w:bCs w:val="0"/>
          <w:kern w:val="2"/>
          <w:sz w:val="28"/>
          <w:szCs w:val="28"/>
          <w:u w:val="none"/>
          <w:lang w:val="en-US" w:eastAsia="zh-CN" w:bidi="ar-SA"/>
        </w:rPr>
        <w:t>3</w:t>
      </w:r>
      <w:r>
        <w:rPr>
          <w:rFonts w:hint="eastAsia" w:ascii="Times New Roman" w:hAnsi="Times New Roman" w:cs="Times New Roman"/>
          <w:b w:val="0"/>
          <w:bCs w:val="0"/>
          <w:kern w:val="2"/>
          <w:sz w:val="28"/>
          <w:szCs w:val="28"/>
          <w:u w:val="none"/>
          <w:lang w:val="en-US" w:eastAsia="zh-CN" w:bidi="ar-SA"/>
        </w:rPr>
        <w:t>大气污染物特别排放限值燃气锅炉排放标准、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《濮阳市</w:t>
      </w:r>
      <w:r>
        <w:rPr>
          <w:rFonts w:ascii="TimesNewRomanPSMT" w:hAnsi="TimesNewRomanPSMT" w:eastAsia="TimesNewRomanPSMT" w:cs="TimesNewRomanPSMT"/>
          <w:color w:val="000000"/>
          <w:kern w:val="0"/>
          <w:sz w:val="28"/>
          <w:szCs w:val="28"/>
          <w:lang w:val="en-US" w:eastAsia="zh-CN" w:bidi="ar"/>
        </w:rPr>
        <w:t>2019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年大气污染防治攻坚战实施方案》和《河南省</w:t>
      </w:r>
      <w:r>
        <w:rPr>
          <w:rFonts w:hint="default" w:ascii="TimesNewRomanPSMT" w:hAnsi="TimesNewRomanPSMT" w:eastAsia="TimesNewRomanPSMT" w:cs="TimesNewRomanPSMT"/>
          <w:color w:val="000000"/>
          <w:kern w:val="0"/>
          <w:sz w:val="28"/>
          <w:szCs w:val="28"/>
          <w:lang w:val="en-US" w:eastAsia="zh-CN" w:bidi="ar"/>
        </w:rPr>
        <w:t>2019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年度锅炉综合治理方案》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、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《大气污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染物综合排放标准》（GB16297-1996）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表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2标准要求。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2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color w:val="000000"/>
          <w:kern w:val="2"/>
          <w:sz w:val="28"/>
          <w:szCs w:val="28"/>
          <w:lang w:val="en-US" w:eastAsia="zh-CN" w:bidi="ar-SA"/>
        </w:rPr>
        <w:t>总量核查：</w:t>
      </w:r>
      <w:r>
        <w:rPr>
          <w:rFonts w:hint="default" w:ascii="Times New Roman" w:hAnsi="Times New Roman" w:eastAsia="宋体" w:cs="Times New Roman"/>
          <w:b w:val="0"/>
          <w:bCs/>
          <w:color w:val="000000"/>
          <w:kern w:val="2"/>
          <w:sz w:val="28"/>
          <w:szCs w:val="28"/>
          <w:lang w:val="en-US" w:eastAsia="zh-CN" w:bidi="ar-SA"/>
        </w:rPr>
        <w:t>根据环评批复及总量确认书要求，本项目总量控制指标为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  <w:t>SO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vertAlign w:val="subscript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vertAlign w:val="baseline"/>
          <w:lang w:val="en-US" w:eastAsia="zh-CN"/>
        </w:rPr>
        <w:t>0.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vertAlign w:val="baseline"/>
          <w:lang w:val="en-US" w:eastAsia="zh-CN"/>
        </w:rPr>
        <w:t>003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vertAlign w:val="baseline"/>
          <w:lang w:val="en-US" w:eastAsia="zh-CN"/>
        </w:rPr>
        <w:t>t/a、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  <w:t>NOx0.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val="en-US" w:eastAsia="zh-CN"/>
        </w:rPr>
        <w:t>025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  <w:t>t/a</w:t>
      </w:r>
      <w:r>
        <w:rPr>
          <w:rFonts w:hint="default" w:ascii="Times New Roman" w:hAnsi="Times New Roman" w:eastAsia="宋体" w:cs="Times New Roman"/>
          <w:b w:val="0"/>
          <w:bCs/>
          <w:color w:val="000000"/>
          <w:kern w:val="2"/>
          <w:sz w:val="28"/>
          <w:szCs w:val="28"/>
          <w:lang w:val="en-US" w:eastAsia="zh-CN" w:bidi="ar-SA"/>
        </w:rPr>
        <w:t>。根据两天的验收监测结果（取两天均值的平均值），企业的二氧化硫和氮氧化物的排放速率分别为</w:t>
      </w:r>
      <w:r>
        <w:rPr>
          <w:rFonts w:hint="eastAsia" w:ascii="Times New Roman" w:hAnsi="Times New Roman" w:eastAsia="宋体" w:cs="Times New Roman"/>
          <w:b w:val="0"/>
          <w:bCs/>
          <w:color w:val="000000"/>
          <w:kern w:val="2"/>
          <w:sz w:val="28"/>
          <w:szCs w:val="28"/>
          <w:lang w:val="en-US" w:eastAsia="zh-CN" w:bidi="ar-SA"/>
        </w:rPr>
        <w:t>5.5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vertAlign w:val="baseline"/>
          <w:lang w:val="en-US" w:eastAsia="zh-CN"/>
        </w:rPr>
        <w:t>×10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vertAlign w:val="superscript"/>
          <w:lang w:val="en-US" w:eastAsia="zh-CN"/>
        </w:rPr>
        <w:t>-3</w:t>
      </w:r>
      <w:r>
        <w:rPr>
          <w:rFonts w:hint="default" w:ascii="Times New Roman" w:hAnsi="Times New Roman" w:eastAsia="宋体" w:cs="Times New Roman"/>
          <w:b w:val="0"/>
          <w:bCs/>
          <w:color w:val="000000"/>
          <w:kern w:val="2"/>
          <w:sz w:val="28"/>
          <w:szCs w:val="28"/>
          <w:lang w:val="en-US" w:eastAsia="zh-CN" w:bidi="ar-SA"/>
        </w:rPr>
        <w:t>kg/h和0.0</w:t>
      </w:r>
      <w:r>
        <w:rPr>
          <w:rFonts w:hint="eastAsia" w:ascii="Times New Roman" w:hAnsi="Times New Roman" w:eastAsia="宋体" w:cs="Times New Roman"/>
          <w:b w:val="0"/>
          <w:bCs/>
          <w:color w:val="000000"/>
          <w:kern w:val="2"/>
          <w:sz w:val="28"/>
          <w:szCs w:val="28"/>
          <w:lang w:val="en-US" w:eastAsia="zh-CN" w:bidi="ar-SA"/>
        </w:rPr>
        <w:t>505</w:t>
      </w:r>
      <w:r>
        <w:rPr>
          <w:rFonts w:hint="default" w:ascii="Times New Roman" w:hAnsi="Times New Roman" w:eastAsia="宋体" w:cs="Times New Roman"/>
          <w:b w:val="0"/>
          <w:bCs/>
          <w:color w:val="000000"/>
          <w:kern w:val="2"/>
          <w:sz w:val="28"/>
          <w:szCs w:val="28"/>
          <w:lang w:val="en-US" w:eastAsia="zh-CN" w:bidi="ar-SA"/>
        </w:rPr>
        <w:t>kg/h</w:t>
      </w:r>
      <w:r>
        <w:rPr>
          <w:rFonts w:hint="eastAsia" w:ascii="Times New Roman" w:hAnsi="Times New Roman" w:eastAsia="宋体" w:cs="Times New Roman"/>
          <w:b w:val="0"/>
          <w:bCs/>
          <w:color w:val="000000"/>
          <w:kern w:val="2"/>
          <w:sz w:val="28"/>
          <w:szCs w:val="28"/>
          <w:lang w:val="en-US" w:eastAsia="zh-CN" w:bidi="ar-SA"/>
        </w:rPr>
        <w:t>。根据</w:t>
      </w:r>
      <w:r>
        <w:rPr>
          <w:rFonts w:hint="default" w:ascii="Times New Roman" w:hAnsi="Times New Roman" w:eastAsia="宋体" w:cs="Times New Roman"/>
          <w:b w:val="0"/>
          <w:bCs/>
          <w:color w:val="000000"/>
          <w:kern w:val="2"/>
          <w:sz w:val="28"/>
          <w:szCs w:val="28"/>
          <w:lang w:val="en-US" w:eastAsia="zh-CN" w:bidi="ar-SA"/>
        </w:rPr>
        <w:t>企业</w:t>
      </w:r>
      <w:r>
        <w:rPr>
          <w:rFonts w:hint="eastAsia" w:ascii="Times New Roman" w:hAnsi="Times New Roman" w:eastAsia="宋体" w:cs="Times New Roman"/>
          <w:b w:val="0"/>
          <w:bCs/>
          <w:color w:val="000000"/>
          <w:kern w:val="2"/>
          <w:sz w:val="28"/>
          <w:szCs w:val="28"/>
          <w:lang w:val="en-US" w:eastAsia="zh-CN" w:bidi="ar-SA"/>
        </w:rPr>
        <w:t>提供时间，</w:t>
      </w:r>
      <w:r>
        <w:rPr>
          <w:rFonts w:hint="default" w:ascii="Times New Roman" w:hAnsi="Times New Roman" w:eastAsia="宋体" w:cs="Times New Roman"/>
          <w:b w:val="0"/>
          <w:bCs/>
          <w:color w:val="000000"/>
          <w:kern w:val="2"/>
          <w:sz w:val="28"/>
          <w:szCs w:val="28"/>
          <w:lang w:val="en-US" w:eastAsia="zh-CN" w:bidi="ar-SA"/>
        </w:rPr>
        <w:t>年运行时间为</w:t>
      </w:r>
      <w:r>
        <w:rPr>
          <w:rFonts w:hint="eastAsia" w:ascii="Times New Roman" w:hAnsi="Times New Roman" w:eastAsia="宋体" w:cs="Times New Roman"/>
          <w:b w:val="0"/>
          <w:bCs/>
          <w:color w:val="000000"/>
          <w:kern w:val="2"/>
          <w:sz w:val="28"/>
          <w:szCs w:val="28"/>
          <w:lang w:val="en-US" w:eastAsia="zh-CN" w:bidi="ar-SA"/>
        </w:rPr>
        <w:t>460</w:t>
      </w:r>
      <w:r>
        <w:rPr>
          <w:rFonts w:hint="default" w:ascii="Times New Roman" w:hAnsi="Times New Roman" w:eastAsia="宋体" w:cs="Times New Roman"/>
          <w:b w:val="0"/>
          <w:bCs/>
          <w:color w:val="000000"/>
          <w:kern w:val="2"/>
          <w:sz w:val="28"/>
          <w:szCs w:val="28"/>
          <w:lang w:val="en-US" w:eastAsia="zh-CN" w:bidi="ar-SA"/>
        </w:rPr>
        <w:t>小时，</w:t>
      </w:r>
      <w:r>
        <w:rPr>
          <w:rFonts w:hint="eastAsia" w:ascii="Times New Roman" w:hAnsi="Times New Roman" w:eastAsia="宋体" w:cs="Times New Roman"/>
          <w:b w:val="0"/>
          <w:bCs/>
          <w:color w:val="000000"/>
          <w:kern w:val="2"/>
          <w:sz w:val="28"/>
          <w:szCs w:val="28"/>
          <w:lang w:val="en-US" w:eastAsia="zh-CN" w:bidi="ar-SA"/>
        </w:rPr>
        <w:t>验收期间企业生产负荷95%，</w:t>
      </w:r>
      <w:r>
        <w:rPr>
          <w:rFonts w:hint="default" w:ascii="Times New Roman" w:hAnsi="Times New Roman" w:eastAsia="宋体" w:cs="Times New Roman"/>
          <w:b w:val="0"/>
          <w:bCs/>
          <w:color w:val="000000"/>
          <w:kern w:val="2"/>
          <w:sz w:val="28"/>
          <w:szCs w:val="28"/>
          <w:lang w:val="en-US" w:eastAsia="zh-CN" w:bidi="ar-SA"/>
        </w:rPr>
        <w:t>二氧化硫和氮氧化物排放量分别为0.00</w:t>
      </w:r>
      <w:r>
        <w:rPr>
          <w:rFonts w:hint="eastAsia" w:ascii="Times New Roman" w:hAnsi="Times New Roman" w:eastAsia="宋体" w:cs="Times New Roman"/>
          <w:b w:val="0"/>
          <w:bCs/>
          <w:color w:val="000000"/>
          <w:kern w:val="2"/>
          <w:sz w:val="28"/>
          <w:szCs w:val="28"/>
          <w:lang w:val="en-US" w:eastAsia="zh-CN" w:bidi="ar-SA"/>
        </w:rPr>
        <w:t>25</w:t>
      </w:r>
      <w:r>
        <w:rPr>
          <w:rFonts w:hint="default" w:ascii="Times New Roman" w:hAnsi="Times New Roman" w:eastAsia="宋体" w:cs="Times New Roman"/>
          <w:b w:val="0"/>
          <w:bCs/>
          <w:color w:val="000000"/>
          <w:kern w:val="2"/>
          <w:sz w:val="28"/>
          <w:szCs w:val="28"/>
          <w:lang w:val="en-US" w:eastAsia="zh-CN" w:bidi="ar-SA"/>
        </w:rPr>
        <w:t>t/a和0.0</w:t>
      </w:r>
      <w:r>
        <w:rPr>
          <w:rFonts w:hint="eastAsia" w:ascii="Times New Roman" w:hAnsi="Times New Roman" w:eastAsia="宋体" w:cs="Times New Roman"/>
          <w:b w:val="0"/>
          <w:bCs/>
          <w:color w:val="000000"/>
          <w:kern w:val="2"/>
          <w:sz w:val="28"/>
          <w:szCs w:val="28"/>
          <w:lang w:val="en-US" w:eastAsia="zh-CN" w:bidi="ar-SA"/>
        </w:rPr>
        <w:t>23</w:t>
      </w:r>
      <w:r>
        <w:rPr>
          <w:rFonts w:hint="default" w:ascii="Times New Roman" w:hAnsi="Times New Roman" w:eastAsia="宋体" w:cs="Times New Roman"/>
          <w:b w:val="0"/>
          <w:bCs/>
          <w:color w:val="000000"/>
          <w:kern w:val="2"/>
          <w:sz w:val="28"/>
          <w:szCs w:val="28"/>
          <w:lang w:val="en-US" w:eastAsia="zh-CN" w:bidi="ar-SA"/>
        </w:rPr>
        <w:t>t/a，</w:t>
      </w:r>
      <w:r>
        <w:rPr>
          <w:rFonts w:hint="eastAsia" w:ascii="Times New Roman" w:hAnsi="Times New Roman" w:eastAsia="宋体" w:cs="Times New Roman"/>
          <w:b w:val="0"/>
          <w:bCs/>
          <w:color w:val="000000"/>
          <w:kern w:val="2"/>
          <w:sz w:val="28"/>
          <w:szCs w:val="28"/>
          <w:lang w:val="en-US" w:eastAsia="zh-CN" w:bidi="ar-SA"/>
        </w:rPr>
        <w:t>折合成满负荷后</w:t>
      </w:r>
      <w:r>
        <w:rPr>
          <w:rFonts w:hint="default" w:ascii="Times New Roman" w:hAnsi="Times New Roman" w:eastAsia="宋体" w:cs="Times New Roman"/>
          <w:b w:val="0"/>
          <w:bCs/>
          <w:color w:val="000000"/>
          <w:kern w:val="2"/>
          <w:sz w:val="28"/>
          <w:szCs w:val="28"/>
          <w:lang w:val="en-US" w:eastAsia="zh-CN" w:bidi="ar-SA"/>
        </w:rPr>
        <w:t>二氧化硫和氮氧化物排放量分别为0.00</w:t>
      </w:r>
      <w:r>
        <w:rPr>
          <w:rFonts w:hint="eastAsia" w:ascii="Times New Roman" w:hAnsi="Times New Roman" w:eastAsia="宋体" w:cs="Times New Roman"/>
          <w:b w:val="0"/>
          <w:bCs/>
          <w:color w:val="000000"/>
          <w:kern w:val="2"/>
          <w:sz w:val="28"/>
          <w:szCs w:val="28"/>
          <w:lang w:val="en-US" w:eastAsia="zh-CN" w:bidi="ar-SA"/>
        </w:rPr>
        <w:t>2</w:t>
      </w:r>
      <w:r>
        <w:rPr>
          <w:rFonts w:hint="eastAsia" w:cs="Times New Roman"/>
          <w:b w:val="0"/>
          <w:bCs/>
          <w:color w:val="000000"/>
          <w:kern w:val="2"/>
          <w:sz w:val="28"/>
          <w:szCs w:val="28"/>
          <w:lang w:val="en-US" w:eastAsia="zh-CN" w:bidi="ar-SA"/>
        </w:rPr>
        <w:t>7</w:t>
      </w:r>
      <w:r>
        <w:rPr>
          <w:rFonts w:hint="default" w:ascii="Times New Roman" w:hAnsi="Times New Roman" w:eastAsia="宋体" w:cs="Times New Roman"/>
          <w:b w:val="0"/>
          <w:bCs/>
          <w:color w:val="000000"/>
          <w:kern w:val="2"/>
          <w:sz w:val="28"/>
          <w:szCs w:val="28"/>
          <w:lang w:val="en-US" w:eastAsia="zh-CN" w:bidi="ar-SA"/>
        </w:rPr>
        <w:t>t/a和0.0</w:t>
      </w:r>
      <w:r>
        <w:rPr>
          <w:rFonts w:hint="eastAsia" w:ascii="Times New Roman" w:hAnsi="Times New Roman" w:eastAsia="宋体" w:cs="Times New Roman"/>
          <w:b w:val="0"/>
          <w:bCs/>
          <w:color w:val="000000"/>
          <w:kern w:val="2"/>
          <w:sz w:val="28"/>
          <w:szCs w:val="28"/>
          <w:lang w:val="en-US" w:eastAsia="zh-CN" w:bidi="ar-SA"/>
        </w:rPr>
        <w:t>2</w:t>
      </w:r>
      <w:r>
        <w:rPr>
          <w:rFonts w:hint="eastAsia" w:ascii="Times New Roman" w:hAnsi="Times New Roman" w:cs="Times New Roman"/>
          <w:b w:val="0"/>
          <w:bCs/>
          <w:color w:val="000000"/>
          <w:kern w:val="2"/>
          <w:sz w:val="28"/>
          <w:szCs w:val="28"/>
          <w:lang w:val="en-US" w:eastAsia="zh-CN" w:bidi="ar-SA"/>
        </w:rPr>
        <w:t>4</w:t>
      </w:r>
      <w:r>
        <w:rPr>
          <w:rFonts w:hint="default" w:ascii="Times New Roman" w:hAnsi="Times New Roman" w:eastAsia="宋体" w:cs="Times New Roman"/>
          <w:b w:val="0"/>
          <w:bCs/>
          <w:color w:val="000000"/>
          <w:kern w:val="2"/>
          <w:sz w:val="28"/>
          <w:szCs w:val="28"/>
          <w:lang w:val="en-US" w:eastAsia="zh-CN" w:bidi="ar-SA"/>
        </w:rPr>
        <w:t>t/a</w:t>
      </w:r>
      <w:r>
        <w:rPr>
          <w:rFonts w:hint="eastAsia" w:ascii="Times New Roman" w:hAnsi="Times New Roman" w:cs="Times New Roman"/>
          <w:b w:val="0"/>
          <w:bCs/>
          <w:color w:val="000000"/>
          <w:kern w:val="2"/>
          <w:sz w:val="28"/>
          <w:szCs w:val="28"/>
          <w:lang w:val="en-US" w:eastAsia="zh-CN" w:bidi="ar-SA"/>
        </w:rPr>
        <w:t>，</w:t>
      </w:r>
      <w:r>
        <w:rPr>
          <w:rFonts w:hint="default" w:ascii="Times New Roman" w:hAnsi="Times New Roman" w:eastAsia="宋体" w:cs="Times New Roman"/>
          <w:b w:val="0"/>
          <w:bCs/>
          <w:color w:val="000000"/>
          <w:kern w:val="2"/>
          <w:sz w:val="28"/>
          <w:szCs w:val="28"/>
          <w:lang w:val="en-US" w:eastAsia="zh-CN" w:bidi="ar-SA"/>
        </w:rPr>
        <w:t>满足环评批复及总量确认书的总量控制指标。</w:t>
      </w:r>
    </w:p>
    <w:p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</w:pP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2.</w:t>
      </w:r>
      <w:r>
        <w:rPr>
          <w:rFonts w:hint="eastAsia" w:ascii="Times New Roman" w:hAnsi="Times New Roman" w:cs="Times New Roman" w:eastAsiaTheme="majorEastAsia"/>
          <w:sz w:val="28"/>
          <w:szCs w:val="28"/>
          <w:lang w:eastAsia="zh-CN"/>
        </w:rPr>
        <w:t>废水</w:t>
      </w:r>
    </w:p>
    <w:p>
      <w:pPr>
        <w:spacing w:line="360" w:lineRule="auto"/>
        <w:ind w:left="664" w:leftChars="316"/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  <w:t>见三、（</w:t>
      </w:r>
      <w:r>
        <w:rPr>
          <w:rFonts w:hint="eastAsia" w:ascii="Times New Roman" w:hAnsi="Times New Roman" w:cs="Times New Roman" w:eastAsiaTheme="majorEastAsia"/>
          <w:snapToGrid w:val="0"/>
          <w:kern w:val="0"/>
          <w:sz w:val="28"/>
          <w:szCs w:val="28"/>
          <w:lang w:eastAsia="zh-CN"/>
        </w:rPr>
        <w:t>一</w:t>
      </w:r>
      <w:r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  <w:t>）款。</w:t>
      </w:r>
    </w:p>
    <w:p>
      <w:pPr>
        <w:spacing w:line="360" w:lineRule="auto"/>
        <w:ind w:left="664" w:leftChars="316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3.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噪声</w:t>
      </w:r>
    </w:p>
    <w:p>
      <w:pPr>
        <w:spacing w:line="360" w:lineRule="auto"/>
        <w:ind w:firstLine="560" w:firstLineChars="200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验收监测期间，各监测点位昼间噪声在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56.5</w:t>
      </w:r>
      <w:r>
        <w:rPr>
          <w:rFonts w:hint="default" w:ascii="Times New Roman" w:hAnsi="Times New Roman" w:eastAsia="宋体" w:cs="Times New Roman"/>
          <w:sz w:val="28"/>
          <w:szCs w:val="28"/>
        </w:rPr>
        <w:t>dB(A)-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62.9</w:t>
      </w:r>
      <w:r>
        <w:rPr>
          <w:rFonts w:hint="default" w:ascii="Times New Roman" w:hAnsi="Times New Roman" w:eastAsia="宋体" w:cs="Times New Roman"/>
          <w:sz w:val="28"/>
          <w:szCs w:val="28"/>
        </w:rPr>
        <w:t>dB(A)之间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，</w:t>
      </w:r>
      <w:r>
        <w:rPr>
          <w:rFonts w:hint="default" w:ascii="Times New Roman" w:hAnsi="Times New Roman" w:eastAsia="宋体" w:cs="Times New Roman"/>
          <w:sz w:val="28"/>
          <w:szCs w:val="28"/>
          <w:lang w:eastAsia="zh-CN"/>
        </w:rPr>
        <w:t>满足</w:t>
      </w:r>
      <w:r>
        <w:rPr>
          <w:rFonts w:hint="default" w:ascii="Times New Roman" w:hAnsi="Times New Roman" w:eastAsia="宋体" w:cs="Times New Roman"/>
          <w:sz w:val="28"/>
          <w:szCs w:val="28"/>
        </w:rPr>
        <w:t>《工业企业厂界环境噪声排放标准》（GB12348－2008）中的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sz w:val="28"/>
          <w:szCs w:val="28"/>
        </w:rPr>
        <w:t>类标准限值。</w:t>
      </w:r>
    </w:p>
    <w:p>
      <w:pPr>
        <w:spacing w:line="360" w:lineRule="auto"/>
        <w:ind w:firstLine="560" w:firstLineChars="200"/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</w:pPr>
      <w:r>
        <w:rPr>
          <w:rFonts w:hint="eastAsia" w:ascii="Times New Roman" w:hAnsi="Times New Roman" w:cs="Times New Roman" w:eastAsiaTheme="majorEastAsia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.固体废物</w:t>
      </w:r>
    </w:p>
    <w:p>
      <w:pPr>
        <w:spacing w:line="360" w:lineRule="auto"/>
        <w:ind w:firstLine="560" w:firstLineChars="200"/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napToGrid w:val="0"/>
          <w:kern w:val="0"/>
          <w:sz w:val="28"/>
          <w:szCs w:val="28"/>
        </w:rPr>
        <w:t>见三、（四）款。</w:t>
      </w:r>
    </w:p>
    <w:p>
      <w:pPr>
        <w:tabs>
          <w:tab w:val="left" w:pos="360"/>
        </w:tabs>
        <w:spacing w:line="360" w:lineRule="auto"/>
        <w:ind w:firstLine="422" w:firstLineChars="150"/>
        <w:jc w:val="left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（二）环境管理调查</w:t>
      </w:r>
    </w:p>
    <w:p>
      <w:pPr>
        <w:spacing w:line="360" w:lineRule="auto"/>
        <w:ind w:firstLine="560" w:firstLineChars="200"/>
        <w:rPr>
          <w:rFonts w:hint="default" w:ascii="Times New Roman" w:hAnsi="Times New Roman" w:cs="Times New Roman" w:eastAsiaTheme="maj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公司制定了《环保管理制度》，并设立了相关机构。日常工作由办公室管理，行使公司环保工作组织、协调、检查和考核管理职能。</w:t>
      </w:r>
    </w:p>
    <w:p>
      <w:pPr>
        <w:spacing w:line="360" w:lineRule="auto"/>
        <w:ind w:firstLine="562" w:firstLineChars="200"/>
        <w:jc w:val="left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五、验收结论</w:t>
      </w:r>
    </w:p>
    <w:p>
      <w:pPr>
        <w:spacing w:line="360" w:lineRule="auto"/>
        <w:ind w:firstLine="555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该项目实施过程中按照环评及其批复要求落实了相关环保措施，建立了相应的环保管理制度，项目建设过程无重大变更。验收监测各项指标满足国家相关排放标准</w:t>
      </w:r>
      <w:r>
        <w:rPr>
          <w:rFonts w:hint="default" w:ascii="Times New Roman" w:hAnsi="Times New Roman" w:cs="Times New Roman" w:eastAsiaTheme="majorEastAsia"/>
          <w:sz w:val="28"/>
          <w:szCs w:val="28"/>
          <w:lang w:eastAsia="zh-CN"/>
        </w:rPr>
        <w:t>。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鉴于项目符合国家和地方相关产业标准及准入要求，环保设施与生产配套，验收期间各项监测指标满足国家相关排放标准，该项目通过环保验收。</w:t>
      </w:r>
    </w:p>
    <w:p>
      <w:pPr>
        <w:spacing w:line="360" w:lineRule="auto"/>
        <w:ind w:firstLine="562" w:firstLineChars="200"/>
        <w:jc w:val="left"/>
        <w:rPr>
          <w:rFonts w:hint="default" w:ascii="Times New Roman" w:hAnsi="Times New Roman" w:cs="Times New Roman" w:eastAsiaTheme="maj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六、后续要求</w:t>
      </w:r>
    </w:p>
    <w:p>
      <w:pPr>
        <w:pStyle w:val="2"/>
        <w:ind w:firstLine="562"/>
        <w:rPr>
          <w:rFonts w:hint="default" w:ascii="Times New Roman" w:hAnsi="Times New Roman" w:cs="Times New Roman" w:eastAsiaTheme="majorEastAsia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 w:eastAsiaTheme="majorEastAsia"/>
          <w:b w:val="0"/>
          <w:bCs/>
          <w:color w:val="auto"/>
          <w:sz w:val="28"/>
          <w:szCs w:val="28"/>
          <w:lang w:val="en-US" w:eastAsia="zh-CN"/>
        </w:rPr>
        <w:t>1、完善</w:t>
      </w:r>
      <w:r>
        <w:rPr>
          <w:rFonts w:hint="default" w:ascii="Times New Roman" w:hAnsi="Times New Roman" w:cs="Times New Roman" w:eastAsiaTheme="majorEastAsia"/>
          <w:color w:val="auto"/>
          <w:sz w:val="28"/>
          <w:szCs w:val="28"/>
        </w:rPr>
        <w:t>环保管理制度</w:t>
      </w:r>
      <w:r>
        <w:rPr>
          <w:rFonts w:hint="eastAsia" w:ascii="Times New Roman" w:hAnsi="Times New Roman" w:cs="Times New Roman" w:eastAsiaTheme="majorEastAsia"/>
          <w:color w:val="auto"/>
          <w:sz w:val="28"/>
          <w:szCs w:val="28"/>
          <w:lang w:val="en-US" w:eastAsia="zh-CN"/>
        </w:rPr>
        <w:t>及环保工作台账。</w:t>
      </w:r>
    </w:p>
    <w:p>
      <w:pPr>
        <w:pStyle w:val="2"/>
        <w:ind w:firstLine="562"/>
        <w:rPr>
          <w:rFonts w:hint="default" w:ascii="Times New Roman" w:hAnsi="Times New Roman" w:cs="Times New Roman" w:eastAsiaTheme="majorEastAsia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 w:eastAsiaTheme="majorEastAsia"/>
          <w:b w:val="0"/>
          <w:bCs/>
          <w:color w:val="auto"/>
          <w:sz w:val="28"/>
          <w:szCs w:val="28"/>
          <w:lang w:val="en-US" w:eastAsia="zh-CN"/>
        </w:rPr>
        <w:t>2、严格落实项目污染防治措施，确保污染物稳定达标排放，固体废物及时处置。</w:t>
      </w:r>
    </w:p>
    <w:p>
      <w:pPr>
        <w:pStyle w:val="2"/>
        <w:ind w:firstLine="562"/>
        <w:rPr>
          <w:rFonts w:hint="eastAsia" w:ascii="Times New Roman" w:hAnsi="Times New Roman" w:cs="Times New Roman" w:eastAsiaTheme="majorEastAsia"/>
          <w:b w:val="0"/>
          <w:bCs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 w:eastAsiaTheme="majorEastAsia"/>
          <w:b w:val="0"/>
          <w:bCs/>
          <w:color w:val="auto"/>
          <w:sz w:val="28"/>
          <w:szCs w:val="28"/>
          <w:lang w:val="en-US" w:eastAsia="zh-CN"/>
        </w:rPr>
        <w:t>3、严格落实日常监测计划，按照未来新的标准、技术规范、政策等实施项目环境管理。</w:t>
      </w:r>
    </w:p>
    <w:p>
      <w:pPr>
        <w:pStyle w:val="2"/>
        <w:ind w:firstLine="562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七、验收组名</w:t>
      </w: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t>单</w:t>
      </w:r>
    </w:p>
    <w:p>
      <w:pPr>
        <w:pStyle w:val="2"/>
        <w:ind w:firstLine="560"/>
        <w:rPr>
          <w:rFonts w:hint="default" w:ascii="Times New Roman" w:hAnsi="Times New Roman" w:cs="Times New Roman" w:eastAsiaTheme="majorEastAsia"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sz w:val="28"/>
          <w:szCs w:val="28"/>
        </w:rPr>
        <w:t>见附件。</w:t>
      </w:r>
    </w:p>
    <w:p>
      <w:pPr>
        <w:spacing w:line="360" w:lineRule="auto"/>
        <w:jc w:val="both"/>
        <w:rPr>
          <w:rFonts w:hint="eastAsia" w:cs="Times New Roman" w:eastAsiaTheme="majorEastAsia"/>
          <w:sz w:val="28"/>
          <w:szCs w:val="28"/>
          <w:lang w:eastAsia="zh-CN"/>
        </w:rPr>
      </w:pPr>
    </w:p>
    <w:p>
      <w:pPr>
        <w:spacing w:line="360" w:lineRule="auto"/>
        <w:jc w:val="right"/>
        <w:rPr>
          <w:rFonts w:hint="eastAsia" w:cs="Times New Roman" w:eastAsiaTheme="majorEastAsia"/>
          <w:sz w:val="28"/>
          <w:szCs w:val="28"/>
          <w:lang w:eastAsia="zh-CN"/>
        </w:rPr>
      </w:pPr>
    </w:p>
    <w:p>
      <w:pPr>
        <w:spacing w:line="360" w:lineRule="auto"/>
        <w:jc w:val="right"/>
        <w:rPr>
          <w:rFonts w:hint="default" w:ascii="Times New Roman" w:hAnsi="Times New Roman" w:cs="Times New Roman" w:eastAsiaTheme="majorEastAsia"/>
          <w:sz w:val="28"/>
          <w:szCs w:val="28"/>
        </w:rPr>
      </w:pPr>
      <w:bookmarkStart w:id="0" w:name="_GoBack"/>
      <w:bookmarkEnd w:id="0"/>
      <w:r>
        <w:rPr>
          <w:rFonts w:hint="eastAsia" w:cs="Times New Roman" w:eastAsiaTheme="majorEastAsia"/>
          <w:sz w:val="28"/>
          <w:szCs w:val="28"/>
          <w:lang w:eastAsia="zh-CN"/>
        </w:rPr>
        <w:t>濮阳市东大食品有限公司</w:t>
      </w:r>
      <w:r>
        <w:rPr>
          <w:rFonts w:hint="default" w:ascii="Times New Roman" w:hAnsi="Times New Roman" w:cs="Times New Roman" w:eastAsiaTheme="majorEastAsia"/>
          <w:sz w:val="28"/>
          <w:szCs w:val="28"/>
        </w:rPr>
        <w:t>验收组</w:t>
      </w:r>
    </w:p>
    <w:p>
      <w:pPr>
        <w:spacing w:line="360" w:lineRule="auto"/>
        <w:jc w:val="right"/>
        <w:rPr>
          <w:rFonts w:hint="default" w:ascii="Times New Roman" w:hAnsi="Times New Roman" w:cs="Times New Roman" w:eastAsiaTheme="majorEastAsia"/>
          <w:sz w:val="28"/>
          <w:szCs w:val="28"/>
          <w:highlight w:val="none"/>
        </w:rPr>
      </w:pPr>
      <w:r>
        <w:rPr>
          <w:rFonts w:hint="default" w:ascii="Times New Roman" w:hAnsi="Times New Roman" w:cs="Times New Roman" w:eastAsiaTheme="majorEastAsia"/>
          <w:sz w:val="28"/>
          <w:szCs w:val="28"/>
          <w:highlight w:val="none"/>
        </w:rPr>
        <w:t xml:space="preserve">   2019年</w:t>
      </w:r>
      <w:r>
        <w:rPr>
          <w:rFonts w:hint="eastAsia" w:cs="Times New Roman" w:eastAsiaTheme="majorEastAsia"/>
          <w:sz w:val="28"/>
          <w:szCs w:val="28"/>
          <w:highlight w:val="none"/>
          <w:lang w:val="en-US" w:eastAsia="zh-CN"/>
        </w:rPr>
        <w:t>12</w:t>
      </w:r>
      <w:r>
        <w:rPr>
          <w:rFonts w:hint="default" w:ascii="Times New Roman" w:hAnsi="Times New Roman" w:cs="Times New Roman" w:eastAsiaTheme="majorEastAsia"/>
          <w:sz w:val="28"/>
          <w:szCs w:val="28"/>
          <w:highlight w:val="none"/>
        </w:rPr>
        <w:t>月</w:t>
      </w:r>
      <w:r>
        <w:rPr>
          <w:rFonts w:hint="eastAsia" w:cs="Times New Roman" w:eastAsiaTheme="majorEastAsia"/>
          <w:sz w:val="28"/>
          <w:szCs w:val="28"/>
          <w:highlight w:val="none"/>
          <w:lang w:val="en-US" w:eastAsia="zh-CN"/>
        </w:rPr>
        <w:t>24</w:t>
      </w:r>
      <w:r>
        <w:rPr>
          <w:rFonts w:hint="default" w:ascii="Times New Roman" w:hAnsi="Times New Roman" w:cs="Times New Roman" w:eastAsiaTheme="majorEastAsia"/>
          <w:sz w:val="28"/>
          <w:szCs w:val="28"/>
          <w:highlight w:val="none"/>
        </w:rPr>
        <w:t>日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880"/>
    <w:rsid w:val="00071917"/>
    <w:rsid w:val="00084955"/>
    <w:rsid w:val="00143251"/>
    <w:rsid w:val="001A0880"/>
    <w:rsid w:val="002E1900"/>
    <w:rsid w:val="0043412A"/>
    <w:rsid w:val="00456A2F"/>
    <w:rsid w:val="004A6ED1"/>
    <w:rsid w:val="004B3592"/>
    <w:rsid w:val="0060420F"/>
    <w:rsid w:val="00BB6087"/>
    <w:rsid w:val="00E33CC9"/>
    <w:rsid w:val="00E37A97"/>
    <w:rsid w:val="01ED3F9D"/>
    <w:rsid w:val="020B4658"/>
    <w:rsid w:val="06C81383"/>
    <w:rsid w:val="07A55512"/>
    <w:rsid w:val="090C6538"/>
    <w:rsid w:val="0B055D8B"/>
    <w:rsid w:val="0BB105F9"/>
    <w:rsid w:val="0BCD78E3"/>
    <w:rsid w:val="0BD4352F"/>
    <w:rsid w:val="0EDC7A73"/>
    <w:rsid w:val="0FF7137B"/>
    <w:rsid w:val="10E652F6"/>
    <w:rsid w:val="13242E95"/>
    <w:rsid w:val="14D00BBC"/>
    <w:rsid w:val="15B30ADC"/>
    <w:rsid w:val="17666C3D"/>
    <w:rsid w:val="176C6CB9"/>
    <w:rsid w:val="17A32894"/>
    <w:rsid w:val="18100048"/>
    <w:rsid w:val="18D05E89"/>
    <w:rsid w:val="19776944"/>
    <w:rsid w:val="19BD6A9B"/>
    <w:rsid w:val="1A2006BD"/>
    <w:rsid w:val="1AAF6CA7"/>
    <w:rsid w:val="1B7A3E6E"/>
    <w:rsid w:val="1C8968BE"/>
    <w:rsid w:val="1C9713D3"/>
    <w:rsid w:val="1E6E0F57"/>
    <w:rsid w:val="21AD125E"/>
    <w:rsid w:val="21E02612"/>
    <w:rsid w:val="22271ADE"/>
    <w:rsid w:val="22A72464"/>
    <w:rsid w:val="236471BD"/>
    <w:rsid w:val="24A41C66"/>
    <w:rsid w:val="259D4021"/>
    <w:rsid w:val="27420539"/>
    <w:rsid w:val="28BA2190"/>
    <w:rsid w:val="2A4101B1"/>
    <w:rsid w:val="2BFB35B9"/>
    <w:rsid w:val="2C2D0B50"/>
    <w:rsid w:val="2C4242BF"/>
    <w:rsid w:val="30CB2781"/>
    <w:rsid w:val="31572BC2"/>
    <w:rsid w:val="31BD7E3D"/>
    <w:rsid w:val="332B1F59"/>
    <w:rsid w:val="33567B9D"/>
    <w:rsid w:val="33775C0A"/>
    <w:rsid w:val="342934E4"/>
    <w:rsid w:val="343831D9"/>
    <w:rsid w:val="349A3D27"/>
    <w:rsid w:val="3608178F"/>
    <w:rsid w:val="378F40F5"/>
    <w:rsid w:val="37AC379A"/>
    <w:rsid w:val="37C4153C"/>
    <w:rsid w:val="3800281E"/>
    <w:rsid w:val="38551EF2"/>
    <w:rsid w:val="3B2962D5"/>
    <w:rsid w:val="3C0408A7"/>
    <w:rsid w:val="3FC04854"/>
    <w:rsid w:val="3FDD2C6F"/>
    <w:rsid w:val="3FEF0AD0"/>
    <w:rsid w:val="4021784B"/>
    <w:rsid w:val="42C56F22"/>
    <w:rsid w:val="42D02360"/>
    <w:rsid w:val="440B2C50"/>
    <w:rsid w:val="44801C86"/>
    <w:rsid w:val="45B12AB5"/>
    <w:rsid w:val="462C4036"/>
    <w:rsid w:val="4848218B"/>
    <w:rsid w:val="4AA80130"/>
    <w:rsid w:val="4C7B6606"/>
    <w:rsid w:val="4CAE592A"/>
    <w:rsid w:val="4EDF6355"/>
    <w:rsid w:val="51F30118"/>
    <w:rsid w:val="52082039"/>
    <w:rsid w:val="52300633"/>
    <w:rsid w:val="547348A8"/>
    <w:rsid w:val="54A46E50"/>
    <w:rsid w:val="56DE4E63"/>
    <w:rsid w:val="5AD75B85"/>
    <w:rsid w:val="5BC66C55"/>
    <w:rsid w:val="5E9C2D23"/>
    <w:rsid w:val="5F0C4CFF"/>
    <w:rsid w:val="60395A44"/>
    <w:rsid w:val="614D2684"/>
    <w:rsid w:val="65826A80"/>
    <w:rsid w:val="65F40410"/>
    <w:rsid w:val="666B20F6"/>
    <w:rsid w:val="66FB5067"/>
    <w:rsid w:val="69965AB9"/>
    <w:rsid w:val="6A4209DB"/>
    <w:rsid w:val="6ABA50EB"/>
    <w:rsid w:val="6CF36FB3"/>
    <w:rsid w:val="6DA87B83"/>
    <w:rsid w:val="6DEB0CC4"/>
    <w:rsid w:val="6DF43CEC"/>
    <w:rsid w:val="71544088"/>
    <w:rsid w:val="717B6F2E"/>
    <w:rsid w:val="72321631"/>
    <w:rsid w:val="732B48DD"/>
    <w:rsid w:val="7340695F"/>
    <w:rsid w:val="736843FC"/>
    <w:rsid w:val="769A38E7"/>
    <w:rsid w:val="77314A22"/>
    <w:rsid w:val="77930543"/>
    <w:rsid w:val="77F46B3F"/>
    <w:rsid w:val="79F74EBF"/>
    <w:rsid w:val="7E2A3AB6"/>
    <w:rsid w:val="7F4274D3"/>
    <w:rsid w:val="7FF1349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li_正文"/>
    <w:basedOn w:val="1"/>
    <w:qFormat/>
    <w:uiPriority w:val="0"/>
    <w:pPr>
      <w:ind w:firstLine="200" w:firstLineChars="200"/>
      <w:jc w:val="left"/>
    </w:pPr>
    <w:rPr>
      <w:rFonts w:ascii="Calibri" w:hAnsi="Calibri"/>
      <w:sz w:val="28"/>
      <w:szCs w:val="28"/>
    </w:rPr>
  </w:style>
  <w:style w:type="paragraph" w:styleId="3">
    <w:name w:val="annotation text"/>
    <w:basedOn w:val="1"/>
    <w:link w:val="19"/>
    <w:semiHidden/>
    <w:unhideWhenUsed/>
    <w:qFormat/>
    <w:uiPriority w:val="99"/>
    <w:pPr>
      <w:jc w:val="left"/>
    </w:pPr>
  </w:style>
  <w:style w:type="paragraph" w:styleId="4">
    <w:name w:val="Block Text"/>
    <w:basedOn w:val="1"/>
    <w:semiHidden/>
    <w:unhideWhenUsed/>
    <w:qFormat/>
    <w:uiPriority w:val="99"/>
    <w:pPr>
      <w:ind w:left="525" w:leftChars="250" w:right="685" w:rightChars="326" w:firstLine="560"/>
    </w:pPr>
    <w:rPr>
      <w:sz w:val="28"/>
    </w:rPr>
  </w:style>
  <w:style w:type="paragraph" w:styleId="5">
    <w:name w:val="Plain Text"/>
    <w:basedOn w:val="1"/>
    <w:semiHidden/>
    <w:unhideWhenUsed/>
    <w:qFormat/>
    <w:uiPriority w:val="99"/>
    <w:rPr>
      <w:rFonts w:ascii="宋体" w:hAnsi="Courier New" w:cs="Courier New"/>
      <w:szCs w:val="21"/>
    </w:rPr>
  </w:style>
  <w:style w:type="paragraph" w:styleId="6">
    <w:name w:val="Balloon Text"/>
    <w:basedOn w:val="1"/>
    <w:link w:val="21"/>
    <w:qFormat/>
    <w:uiPriority w:val="0"/>
    <w:rPr>
      <w:sz w:val="18"/>
      <w:szCs w:val="18"/>
    </w:rPr>
  </w:style>
  <w:style w:type="paragraph" w:styleId="7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annotation subject"/>
    <w:basedOn w:val="3"/>
    <w:next w:val="3"/>
    <w:link w:val="20"/>
    <w:qFormat/>
    <w:uiPriority w:val="0"/>
    <w:rPr>
      <w:b/>
      <w:bCs/>
    </w:rPr>
  </w:style>
  <w:style w:type="table" w:styleId="11">
    <w:name w:val="Table Grid"/>
    <w:basedOn w:val="10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annotation reference"/>
    <w:basedOn w:val="12"/>
    <w:qFormat/>
    <w:uiPriority w:val="0"/>
    <w:rPr>
      <w:sz w:val="21"/>
      <w:szCs w:val="21"/>
    </w:rPr>
  </w:style>
  <w:style w:type="paragraph" w:customStyle="1" w:styleId="14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szCs w:val="22"/>
      <w:lang w:val="en-US" w:eastAsia="zh-CN" w:bidi="ar-SA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paragraph" w:customStyle="1" w:styleId="16">
    <w:name w:val="报告表正文"/>
    <w:basedOn w:val="1"/>
    <w:qFormat/>
    <w:uiPriority w:val="0"/>
    <w:pPr>
      <w:tabs>
        <w:tab w:val="left" w:pos="7560"/>
      </w:tabs>
      <w:adjustRightInd w:val="0"/>
      <w:spacing w:line="360" w:lineRule="auto"/>
      <w:ind w:firstLine="480" w:firstLineChars="200"/>
    </w:pPr>
    <w:rPr>
      <w:bCs/>
      <w:sz w:val="24"/>
    </w:rPr>
  </w:style>
  <w:style w:type="character" w:customStyle="1" w:styleId="17">
    <w:name w:val="页眉 Char"/>
    <w:basedOn w:val="12"/>
    <w:link w:val="8"/>
    <w:qFormat/>
    <w:uiPriority w:val="0"/>
    <w:rPr>
      <w:kern w:val="2"/>
      <w:sz w:val="18"/>
      <w:szCs w:val="18"/>
    </w:rPr>
  </w:style>
  <w:style w:type="character" w:customStyle="1" w:styleId="18">
    <w:name w:val="页脚 Char"/>
    <w:basedOn w:val="12"/>
    <w:link w:val="7"/>
    <w:qFormat/>
    <w:uiPriority w:val="0"/>
    <w:rPr>
      <w:kern w:val="2"/>
      <w:sz w:val="18"/>
      <w:szCs w:val="18"/>
    </w:rPr>
  </w:style>
  <w:style w:type="character" w:customStyle="1" w:styleId="19">
    <w:name w:val="批注文字 Char"/>
    <w:basedOn w:val="12"/>
    <w:link w:val="3"/>
    <w:semiHidden/>
    <w:qFormat/>
    <w:uiPriority w:val="99"/>
    <w:rPr>
      <w:kern w:val="2"/>
      <w:sz w:val="21"/>
      <w:szCs w:val="24"/>
    </w:rPr>
  </w:style>
  <w:style w:type="character" w:customStyle="1" w:styleId="20">
    <w:name w:val="批注主题 Char"/>
    <w:basedOn w:val="19"/>
    <w:link w:val="9"/>
    <w:qFormat/>
    <w:uiPriority w:val="0"/>
  </w:style>
  <w:style w:type="character" w:customStyle="1" w:styleId="21">
    <w:name w:val="批注框文本 Char"/>
    <w:basedOn w:val="12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1190</Words>
  <Characters>1250</Characters>
  <Lines>52</Lines>
  <Paragraphs>58</Paragraphs>
  <TotalTime>7</TotalTime>
  <ScaleCrop>false</ScaleCrop>
  <LinksUpToDate>false</LinksUpToDate>
  <CharactersWithSpaces>2382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开心就好</cp:lastModifiedBy>
  <cp:lastPrinted>2019-12-28T02:47:00Z</cp:lastPrinted>
  <dcterms:modified xsi:type="dcterms:W3CDTF">2020-05-11T02:36:36Z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