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</w:tabs>
        <w:spacing w:line="360" w:lineRule="auto"/>
        <w:ind w:left="298" w:leftChars="142"/>
        <w:jc w:val="center"/>
        <w:rPr>
          <w:rFonts w:hint="eastAsia" w:cs="Times New Roman" w:asciiTheme="majorEastAsia" w:hAnsiTheme="majorEastAsia" w:eastAsiaTheme="majorEastAsia"/>
          <w:b/>
          <w:sz w:val="28"/>
          <w:szCs w:val="28"/>
          <w:lang w:eastAsia="zh-CN"/>
        </w:rPr>
      </w:pPr>
      <w:r>
        <w:rPr>
          <w:rFonts w:hint="eastAsia" w:cs="Times New Roman" w:asciiTheme="majorEastAsia" w:hAnsiTheme="majorEastAsia" w:eastAsiaTheme="majorEastAsia"/>
          <w:b/>
          <w:sz w:val="28"/>
          <w:szCs w:val="28"/>
          <w:lang w:eastAsia="zh-CN"/>
        </w:rPr>
        <w:t>中冶纸业银河有限公司</w:t>
      </w:r>
      <w:r>
        <w:rPr>
          <w:rFonts w:hint="eastAsia" w:cs="Times New Roman" w:eastAsiaTheme="majorEastAsia"/>
          <w:b/>
          <w:sz w:val="28"/>
          <w:szCs w:val="28"/>
          <w:lang w:eastAsia="zh-CN"/>
        </w:rPr>
        <w:t>年产10万吨杨木化机浆工程项目</w:t>
      </w:r>
    </w:p>
    <w:p>
      <w:pPr>
        <w:tabs>
          <w:tab w:val="left" w:pos="360"/>
        </w:tabs>
        <w:spacing w:line="360" w:lineRule="auto"/>
        <w:ind w:left="298" w:leftChars="142"/>
        <w:jc w:val="center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竣工环境保护验收现场检查及验收工作组验收意见</w:t>
      </w:r>
    </w:p>
    <w:p>
      <w:pPr>
        <w:pageBreakBefore w:val="0"/>
        <w:tabs>
          <w:tab w:val="left" w:pos="360"/>
        </w:tabs>
        <w:kinsoku/>
        <w:wordWrap/>
        <w:overflowPunct/>
        <w:topLinePunct w:val="0"/>
        <w:bidi w:val="0"/>
        <w:spacing w:line="360" w:lineRule="auto"/>
        <w:ind w:firstLine="560" w:firstLineChars="200"/>
        <w:jc w:val="left"/>
        <w:textAlignment w:val="auto"/>
        <w:rPr>
          <w:rFonts w:hint="eastAsia" w:cs="Times New Roman" w:eastAsiaTheme="major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cs="Times New Roman" w:eastAsiaTheme="majorEastAsia"/>
          <w:color w:val="auto"/>
          <w:sz w:val="28"/>
          <w:szCs w:val="2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ajorEastAsia"/>
          <w:color w:val="auto"/>
          <w:sz w:val="28"/>
          <w:szCs w:val="28"/>
          <w:highlight w:val="none"/>
        </w:rPr>
        <w:t>2</w:t>
      </w:r>
      <w:r>
        <w:rPr>
          <w:rFonts w:hint="default" w:ascii="Times New Roman" w:hAnsi="Times New Roman" w:cs="Times New Roman" w:eastAsiaTheme="majorEastAsia"/>
          <w:color w:val="auto"/>
          <w:sz w:val="28"/>
          <w:szCs w:val="28"/>
        </w:rPr>
        <w:t>0</w:t>
      </w:r>
      <w:r>
        <w:rPr>
          <w:rFonts w:hint="eastAsia" w:cs="Times New Roman" w:eastAsiaTheme="majorEastAsia"/>
          <w:color w:val="auto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color w:val="auto"/>
          <w:sz w:val="28"/>
          <w:szCs w:val="28"/>
        </w:rPr>
        <w:t>年</w:t>
      </w:r>
      <w:r>
        <w:rPr>
          <w:rFonts w:hint="eastAsia" w:cs="Times New Roman" w:eastAsiaTheme="majorEastAsia"/>
          <w:color w:val="auto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 w:eastAsiaTheme="majorEastAsia"/>
          <w:color w:val="auto"/>
          <w:sz w:val="28"/>
          <w:szCs w:val="28"/>
        </w:rPr>
        <w:t>月</w:t>
      </w:r>
      <w:r>
        <w:rPr>
          <w:rFonts w:hint="eastAsia" w:cs="Times New Roman" w:eastAsiaTheme="majorEastAsia"/>
          <w:color w:val="auto"/>
          <w:sz w:val="28"/>
          <w:szCs w:val="28"/>
          <w:lang w:val="en-US" w:eastAsia="zh-CN"/>
        </w:rPr>
        <w:t>22</w:t>
      </w:r>
      <w:r>
        <w:rPr>
          <w:rFonts w:hint="default" w:ascii="Times New Roman" w:hAnsi="Times New Roman" w:cs="Times New Roman" w:eastAsiaTheme="majorEastAsia"/>
          <w:color w:val="auto"/>
          <w:sz w:val="28"/>
          <w:szCs w:val="28"/>
        </w:rPr>
        <w:t>日，</w:t>
      </w:r>
      <w:r>
        <w:rPr>
          <w:rFonts w:hint="eastAsia" w:cs="Times New Roman" w:eastAsiaTheme="majorEastAsia"/>
          <w:color w:val="auto"/>
          <w:sz w:val="28"/>
          <w:szCs w:val="28"/>
          <w:lang w:eastAsia="zh-CN"/>
        </w:rPr>
        <w:t>中冶纸业银河有限公司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组织召开</w:t>
      </w:r>
      <w:r>
        <w:rPr>
          <w:rFonts w:hint="eastAsia" w:cs="Times New Roman" w:eastAsiaTheme="majorEastAsia"/>
          <w:sz w:val="28"/>
          <w:szCs w:val="28"/>
          <w:lang w:eastAsia="zh-CN"/>
        </w:rPr>
        <w:t>中冶纸业银河有限公司年产10万吨杨木化机浆工程项目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竣工环境保护验收现场检查及验收会。验收组由业主单位（</w:t>
      </w:r>
      <w:r>
        <w:rPr>
          <w:rFonts w:hint="eastAsia" w:cs="Times New Roman" w:eastAsiaTheme="majorEastAsia"/>
          <w:sz w:val="28"/>
          <w:szCs w:val="28"/>
          <w:lang w:eastAsia="zh-CN"/>
        </w:rPr>
        <w:t>中冶纸业银河有限公司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）、监测单位（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）并特邀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名技术专家组成。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验收组现场核实了本项目环保工作落实情况，根据项目竣工环境保护验收监测报告并对照《建设项目环境保护管理条例》、《建设项目竣工环境保护验收暂行办法》，依照国家有关法律法规、建设项目竣工环境保护验收技术规范、本项目环境影响评价报告</w:t>
      </w:r>
      <w:r>
        <w:rPr>
          <w:rFonts w:hint="eastAsia" w:cs="Times New Roman" w:eastAsiaTheme="majorEastAsia"/>
          <w:sz w:val="28"/>
          <w:szCs w:val="28"/>
          <w:lang w:eastAsia="zh-CN"/>
        </w:rPr>
        <w:t>书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和审批部门审批决定等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，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对本项目进行验收。经研究形成验收意见如下：</w:t>
      </w:r>
      <w:bookmarkStart w:id="2" w:name="_GoBack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一、工程建设基本情况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98" w:leftChars="142" w:firstLine="48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（一）建设地点、规模、主要建设内容</w:t>
      </w:r>
    </w:p>
    <w:p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00" w:firstLineChars="200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30"/>
          <w:szCs w:val="30"/>
        </w:rPr>
        <w:t>项目建设地点位于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聊城市临清西门里街297号中冶纸业银河有限公司现有北厂厂区内</w:t>
      </w:r>
      <w:r>
        <w:rPr>
          <w:rFonts w:hint="default" w:ascii="Times New Roman" w:hAnsi="Times New Roman" w:cs="Times New Roman" w:eastAsiaTheme="majorEastAsia"/>
          <w:sz w:val="30"/>
          <w:szCs w:val="30"/>
        </w:rPr>
        <w:t>，占地面积</w:t>
      </w:r>
      <w:r>
        <w:rPr>
          <w:rFonts w:hint="eastAsia" w:cs="Times New Roman" w:eastAsiaTheme="majorEastAsia"/>
          <w:sz w:val="30"/>
          <w:szCs w:val="30"/>
          <w:lang w:val="en-US" w:eastAsia="zh-CN"/>
        </w:rPr>
        <w:t>32000</w:t>
      </w:r>
      <w:r>
        <w:rPr>
          <w:rFonts w:hint="default" w:ascii="Times New Roman" w:hAnsi="Times New Roman" w:cs="Times New Roman" w:eastAsiaTheme="majorEastAsia"/>
          <w:sz w:val="30"/>
          <w:szCs w:val="30"/>
        </w:rPr>
        <w:t>m</w:t>
      </w:r>
      <w:r>
        <w:rPr>
          <w:rFonts w:hint="default" w:ascii="Times New Roman" w:hAnsi="Times New Roman" w:cs="Times New Roman" w:eastAsiaTheme="majorEastAsia"/>
          <w:sz w:val="30"/>
          <w:szCs w:val="30"/>
          <w:vertAlign w:val="superscript"/>
        </w:rPr>
        <w:t>2</w:t>
      </w:r>
      <w:r>
        <w:rPr>
          <w:rFonts w:hint="default" w:ascii="Times New Roman" w:hAnsi="Times New Roman" w:cs="Times New Roman" w:eastAsiaTheme="majorEastAsia"/>
          <w:sz w:val="30"/>
          <w:szCs w:val="30"/>
        </w:rPr>
        <w:t>。</w:t>
      </w:r>
      <w:r>
        <w:rPr>
          <w:rFonts w:hint="eastAsia" w:cs="Times New Roman" w:eastAsiaTheme="majorEastAsia"/>
          <w:sz w:val="30"/>
          <w:szCs w:val="30"/>
          <w:lang w:eastAsia="zh-CN"/>
        </w:rPr>
        <w:t>企业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投资</w:t>
      </w:r>
      <w:r>
        <w:rPr>
          <w:rFonts w:hint="eastAsia" w:cs="Times New Roman"/>
          <w:sz w:val="28"/>
          <w:szCs w:val="28"/>
          <w:lang w:val="en-US" w:eastAsia="zh-CN"/>
        </w:rPr>
        <w:t>15000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万元建设</w:t>
      </w:r>
      <w:r>
        <w:rPr>
          <w:rFonts w:hint="eastAsia" w:cs="Times New Roman"/>
          <w:sz w:val="28"/>
          <w:szCs w:val="28"/>
          <w:lang w:eastAsia="zh-CN"/>
        </w:rPr>
        <w:t>年产10万吨杨木化机浆工程项目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，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配</w:t>
      </w:r>
      <w:r>
        <w:rPr>
          <w:rFonts w:hint="eastAsia" w:cs="Times New Roman" w:eastAsiaTheme="majorEastAsia"/>
          <w:sz w:val="30"/>
          <w:szCs w:val="30"/>
          <w:lang w:val="en-US" w:eastAsia="zh-CN"/>
        </w:rPr>
        <w:t>置</w:t>
      </w:r>
      <w:r>
        <w:rPr>
          <w:rFonts w:hint="default" w:cs="Times New Roman" w:eastAsiaTheme="majorEastAsia"/>
          <w:sz w:val="30"/>
          <w:szCs w:val="30"/>
          <w:lang w:eastAsia="zh-CN"/>
        </w:rPr>
        <w:t>脱水螺旋机</w:t>
      </w:r>
      <w:r>
        <w:rPr>
          <w:rFonts w:hint="default" w:cs="Times New Roman" w:eastAsiaTheme="majorEastAsia"/>
          <w:sz w:val="30"/>
          <w:szCs w:val="30"/>
          <w:lang w:val="en-US" w:eastAsia="zh-CN"/>
        </w:rPr>
        <w:t>、</w:t>
      </w:r>
      <w:r>
        <w:rPr>
          <w:rFonts w:hint="default" w:cs="Times New Roman" w:eastAsiaTheme="majorEastAsia"/>
          <w:sz w:val="30"/>
          <w:szCs w:val="30"/>
          <w:lang w:eastAsia="zh-CN"/>
        </w:rPr>
        <w:t>高压磨浆机</w:t>
      </w:r>
      <w:r>
        <w:rPr>
          <w:rFonts w:hint="eastAsia" w:cs="Times New Roman" w:eastAsiaTheme="majorEastAsia"/>
          <w:sz w:val="30"/>
          <w:szCs w:val="30"/>
          <w:lang w:eastAsia="zh-CN"/>
        </w:rPr>
        <w:t>、</w:t>
      </w:r>
      <w:r>
        <w:rPr>
          <w:rFonts w:hint="default" w:cs="Times New Roman" w:eastAsiaTheme="majorEastAsia"/>
          <w:sz w:val="30"/>
          <w:szCs w:val="30"/>
          <w:lang w:eastAsia="zh-CN"/>
        </w:rPr>
        <w:t>螺旋压榨机</w:t>
      </w:r>
      <w:r>
        <w:rPr>
          <w:rFonts w:hint="default" w:cs="Times New Roman" w:eastAsiaTheme="majorEastAsia"/>
          <w:sz w:val="30"/>
          <w:szCs w:val="30"/>
          <w:lang w:val="en-US" w:eastAsia="zh-CN"/>
        </w:rPr>
        <w:t>等</w:t>
      </w:r>
      <w:r>
        <w:rPr>
          <w:rFonts w:hint="eastAsia" w:cs="Times New Roman" w:eastAsiaTheme="majorEastAsia"/>
          <w:sz w:val="30"/>
          <w:szCs w:val="30"/>
          <w:lang w:val="en-US" w:eastAsia="zh-CN"/>
        </w:rPr>
        <w:t>加工设备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pageBreakBefore w:val="0"/>
        <w:tabs>
          <w:tab w:val="left" w:pos="360"/>
        </w:tabs>
        <w:kinsoku/>
        <w:wordWrap/>
        <w:overflowPunct/>
        <w:topLinePunct w:val="0"/>
        <w:bidi w:val="0"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项目生产规模为：</w:t>
      </w:r>
      <w:r>
        <w:rPr>
          <w:rFonts w:hint="eastAsia" w:cs="Times New Roman"/>
          <w:sz w:val="28"/>
          <w:szCs w:val="28"/>
          <w:lang w:eastAsia="zh-CN"/>
        </w:rPr>
        <w:t>年产10万吨杨木化机浆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pageBreakBefore w:val="0"/>
        <w:tabs>
          <w:tab w:val="left" w:pos="360"/>
        </w:tabs>
        <w:kinsoku/>
        <w:wordWrap/>
        <w:overflowPunct/>
        <w:topLinePunct w:val="0"/>
        <w:bidi w:val="0"/>
        <w:spacing w:line="360" w:lineRule="auto"/>
        <w:ind w:firstLine="590" w:firstLineChars="245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（二）环保审批情况</w:t>
      </w:r>
    </w:p>
    <w:p>
      <w:pPr>
        <w:pageBreakBefore w:val="0"/>
        <w:tabs>
          <w:tab w:val="left" w:pos="360"/>
        </w:tabs>
        <w:kinsoku/>
        <w:wordWrap/>
        <w:overflowPunct/>
        <w:topLinePunct w:val="0"/>
        <w:bidi w:val="0"/>
        <w:spacing w:line="360" w:lineRule="auto"/>
        <w:ind w:firstLine="560" w:firstLineChars="200"/>
        <w:jc w:val="left"/>
        <w:textAlignment w:val="auto"/>
        <w:rPr>
          <w:rFonts w:hint="eastAsia" w:cs="Times New Roman" w:eastAsiaTheme="majorEastAsia"/>
          <w:sz w:val="28"/>
          <w:szCs w:val="28"/>
          <w:lang w:val="en-US" w:eastAsia="zh-CN"/>
        </w:rPr>
      </w:pPr>
      <w:r>
        <w:rPr>
          <w:rFonts w:hint="eastAsia" w:cs="Times New Roman"/>
          <w:sz w:val="28"/>
          <w:szCs w:val="28"/>
          <w:lang w:eastAsia="zh-CN"/>
        </w:rPr>
        <w:t>中冶纸业银河有限公司</w:t>
      </w:r>
      <w:r>
        <w:rPr>
          <w:rFonts w:hint="default" w:ascii="Times New Roman" w:hAnsi="Times New Roman" w:cs="Times New Roman"/>
          <w:sz w:val="28"/>
          <w:szCs w:val="28"/>
        </w:rPr>
        <w:t>于20</w:t>
      </w:r>
      <w:r>
        <w:rPr>
          <w:rFonts w:hint="eastAsia" w:cs="Times New Roman"/>
          <w:sz w:val="28"/>
          <w:szCs w:val="28"/>
          <w:lang w:val="en-US" w:eastAsia="zh-CN"/>
        </w:rPr>
        <w:t>18</w:t>
      </w:r>
      <w:r>
        <w:rPr>
          <w:rFonts w:hint="default" w:ascii="Times New Roman" w:hAnsi="Times New Roman" w:cs="Times New Roman"/>
          <w:sz w:val="28"/>
          <w:szCs w:val="28"/>
        </w:rPr>
        <w:t>年</w:t>
      </w:r>
      <w:r>
        <w:rPr>
          <w:rFonts w:hint="eastAsia" w:cs="Times New Roman"/>
          <w:sz w:val="28"/>
          <w:szCs w:val="28"/>
          <w:lang w:val="en-US" w:eastAsia="zh-CN"/>
        </w:rPr>
        <w:t>12</w:t>
      </w:r>
      <w:r>
        <w:rPr>
          <w:rFonts w:hint="default" w:ascii="Times New Roman" w:hAnsi="Times New Roman" w:cs="Times New Roman"/>
          <w:sz w:val="28"/>
          <w:szCs w:val="28"/>
        </w:rPr>
        <w:t>月委托</w:t>
      </w:r>
      <w:r>
        <w:rPr>
          <w:rFonts w:hint="eastAsia"/>
          <w:sz w:val="28"/>
          <w:szCs w:val="28"/>
          <w:lang w:eastAsia="zh-CN"/>
        </w:rPr>
        <w:t>山东省环境保护科学研究设计院有限公司</w:t>
      </w:r>
      <w:r>
        <w:rPr>
          <w:rFonts w:hint="default" w:ascii="Times New Roman" w:hAnsi="Times New Roman" w:cs="Times New Roman"/>
          <w:sz w:val="28"/>
          <w:szCs w:val="28"/>
        </w:rPr>
        <w:t>编制了《</w:t>
      </w:r>
      <w:r>
        <w:rPr>
          <w:rFonts w:hint="eastAsia" w:cs="Times New Roman"/>
          <w:sz w:val="28"/>
          <w:szCs w:val="28"/>
          <w:lang w:eastAsia="zh-CN"/>
        </w:rPr>
        <w:t>中冶纸业银河有限公司</w:t>
      </w:r>
      <w:r>
        <w:rPr>
          <w:rFonts w:hint="eastAsia"/>
          <w:sz w:val="28"/>
          <w:lang w:val="en-US" w:eastAsia="zh-CN"/>
        </w:rPr>
        <w:t>年产10万吨杨木化机浆工程项目</w:t>
      </w:r>
      <w:r>
        <w:rPr>
          <w:rFonts w:hint="default" w:ascii="Times New Roman" w:hAnsi="Times New Roman" w:cs="Times New Roman"/>
          <w:sz w:val="28"/>
          <w:szCs w:val="28"/>
        </w:rPr>
        <w:t>》环境影响报告</w:t>
      </w:r>
      <w:r>
        <w:rPr>
          <w:rFonts w:hint="eastAsia" w:cs="Times New Roman"/>
          <w:sz w:val="28"/>
          <w:szCs w:val="28"/>
          <w:lang w:eastAsia="zh-CN"/>
        </w:rPr>
        <w:t>书</w:t>
      </w:r>
      <w:r>
        <w:rPr>
          <w:rFonts w:hint="default" w:ascii="Times New Roman" w:hAnsi="Times New Roman" w:cs="Times New Roman"/>
          <w:sz w:val="28"/>
          <w:szCs w:val="28"/>
        </w:rPr>
        <w:t>，</w:t>
      </w:r>
      <w:r>
        <w:rPr>
          <w:rFonts w:hint="eastAsia"/>
          <w:color w:val="000000"/>
          <w:sz w:val="28"/>
        </w:rPr>
        <w:t>于</w:t>
      </w:r>
      <w:r>
        <w:rPr>
          <w:rFonts w:hint="eastAsia"/>
          <w:color w:val="auto"/>
          <w:sz w:val="28"/>
        </w:rPr>
        <w:t>20</w:t>
      </w:r>
      <w:r>
        <w:rPr>
          <w:rFonts w:hint="eastAsia"/>
          <w:color w:val="auto"/>
          <w:sz w:val="28"/>
          <w:lang w:val="en-US" w:eastAsia="zh-CN"/>
        </w:rPr>
        <w:t>19</w:t>
      </w:r>
      <w:r>
        <w:rPr>
          <w:rFonts w:hint="eastAsia"/>
          <w:color w:val="auto"/>
          <w:sz w:val="28"/>
        </w:rPr>
        <w:t>年</w:t>
      </w:r>
      <w:r>
        <w:rPr>
          <w:rFonts w:hint="eastAsia"/>
          <w:color w:val="auto"/>
          <w:sz w:val="28"/>
          <w:lang w:val="en-US" w:eastAsia="zh-CN"/>
        </w:rPr>
        <w:t>1</w:t>
      </w:r>
      <w:r>
        <w:rPr>
          <w:rFonts w:hint="eastAsia"/>
          <w:color w:val="auto"/>
          <w:sz w:val="28"/>
        </w:rPr>
        <w:t>月</w:t>
      </w:r>
      <w:r>
        <w:rPr>
          <w:rFonts w:hint="eastAsia"/>
          <w:color w:val="auto"/>
          <w:sz w:val="28"/>
          <w:lang w:val="en-US" w:eastAsia="zh-CN"/>
        </w:rPr>
        <w:t>7</w:t>
      </w:r>
      <w:r>
        <w:rPr>
          <w:rFonts w:hint="eastAsia"/>
          <w:color w:val="auto"/>
          <w:sz w:val="28"/>
        </w:rPr>
        <w:t>日通过</w:t>
      </w:r>
      <w:r>
        <w:rPr>
          <w:rFonts w:hint="eastAsia"/>
          <w:color w:val="auto"/>
          <w:sz w:val="28"/>
          <w:lang w:eastAsia="zh-CN"/>
        </w:rPr>
        <w:t>聊城市环境保护局</w:t>
      </w:r>
      <w:r>
        <w:rPr>
          <w:rFonts w:hint="eastAsia"/>
          <w:color w:val="auto"/>
          <w:sz w:val="28"/>
        </w:rPr>
        <w:t>的批复（</w:t>
      </w:r>
      <w:r>
        <w:rPr>
          <w:rFonts w:hint="eastAsia"/>
          <w:color w:val="auto"/>
          <w:sz w:val="28"/>
          <w:lang w:eastAsia="zh-CN"/>
        </w:rPr>
        <w:t>聊环审[2019]5号</w:t>
      </w:r>
      <w:r>
        <w:rPr>
          <w:rFonts w:hint="eastAsia"/>
          <w:color w:val="auto"/>
          <w:sz w:val="28"/>
        </w:rPr>
        <w:t>）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36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20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月份公司委托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进行该项目的环保验收监测工作，接受委托后</w:t>
      </w:r>
      <w:r>
        <w:rPr>
          <w:rFonts w:hint="eastAsia" w:cs="Times New Roman" w:eastAsiaTheme="majorEastAsia"/>
          <w:sz w:val="28"/>
          <w:szCs w:val="28"/>
          <w:lang w:eastAsia="zh-CN"/>
        </w:rPr>
        <w:t>验收单位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组织有关技术人员进行现场踏勘，依据监测技术规范制定了环保验收监测方案，并于</w:t>
      </w:r>
      <w:r>
        <w:rPr>
          <w:rFonts w:hint="eastAsia"/>
          <w:color w:val="auto"/>
          <w:sz w:val="28"/>
          <w:szCs w:val="28"/>
          <w:highlight w:val="none"/>
        </w:rPr>
        <w:t>20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20</w:t>
      </w:r>
      <w:r>
        <w:rPr>
          <w:rFonts w:hint="eastAsia"/>
          <w:color w:val="auto"/>
          <w:sz w:val="28"/>
          <w:szCs w:val="28"/>
          <w:highlight w:val="none"/>
        </w:rPr>
        <w:t>年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4</w:t>
      </w:r>
      <w:r>
        <w:rPr>
          <w:rFonts w:hint="eastAsia"/>
          <w:color w:val="auto"/>
          <w:sz w:val="28"/>
          <w:szCs w:val="28"/>
          <w:highlight w:val="none"/>
        </w:rPr>
        <w:t>月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/>
          <w:color w:val="auto"/>
          <w:sz w:val="28"/>
          <w:szCs w:val="28"/>
          <w:highlight w:val="none"/>
        </w:rPr>
        <w:t>日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-4</w:t>
      </w:r>
      <w:r>
        <w:rPr>
          <w:rFonts w:hint="eastAsia"/>
          <w:color w:val="auto"/>
          <w:sz w:val="28"/>
          <w:szCs w:val="28"/>
          <w:highlight w:val="none"/>
        </w:rPr>
        <w:t>月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/>
          <w:color w:val="auto"/>
          <w:sz w:val="28"/>
          <w:szCs w:val="28"/>
          <w:highlight w:val="none"/>
        </w:rPr>
        <w:t>日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对厂区有关污染源进行了监测，根据验收监测结果和现场检查情况编制了本项目验收监测报告。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36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（三）投资情况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36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实际总投资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15000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万元，其中环保投资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175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万元。占总</w:t>
      </w:r>
      <w:r>
        <w:rPr>
          <w:rFonts w:hint="eastAsia" w:cs="Times New Roman" w:eastAsiaTheme="majorEastAsia"/>
          <w:sz w:val="28"/>
          <w:szCs w:val="28"/>
          <w:lang w:eastAsia="zh-CN"/>
        </w:rPr>
        <w:t>投资的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1.2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％。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36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（四）验收范围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bidi w:val="0"/>
        <w:snapToGrid/>
        <w:spacing w:line="336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lang w:eastAsia="zh-CN"/>
        </w:rPr>
        <w:t>中冶纸业银河有限公司年产10万吨杨木化机浆工程项目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及其配套环保设施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36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二、工程变更情况</w:t>
      </w: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36" w:lineRule="auto"/>
        <w:ind w:firstLine="56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（1）原料</w:t>
      </w: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36" w:lineRule="auto"/>
        <w:ind w:firstLine="56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根据现场踏勘，环评中无增白剂和双元漂白剂，实际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在二段撕裂挤压和一段磨盘工序使用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双元漂白剂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提高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了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双氧水的漂白效率，降低双氧水用量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；使用增白剂主要是物理增白，主要在高浓漂白时加入，高浓漂白不再使用双氧水，降低双氧水用量。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增白剂和双元漂白剂用量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均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为100吨，减少了1000吨双氧水的用量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。使用后，未新增废气及其他污染物，对周围环境基本无影响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 w:firstLine="560" w:firstLineChars="200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（2）用水</w:t>
      </w: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 w:firstLine="560" w:firstLineChars="20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环评中项目用水取自地下水，实际上用水取自地表水，取水证见附件。</w:t>
      </w: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24" w:lineRule="auto"/>
        <w:ind w:firstLine="56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（3）设备型号</w:t>
      </w: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firstLine="560"/>
        <w:jc w:val="both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生产设备较环评相比，木片接收仓、木片预蒸仓及螺旋压榨机型号有变化，但设备功能、生产能力等均无变化，不属于重大变更。</w:t>
      </w: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firstLine="56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（4）结论</w:t>
      </w: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firstLine="56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由于生产性质、生产地点、生产规模、环保设施和生产设备与工艺流程均无明显变动，根据《关于印发环评管理中部分行业建设项目重大变动清单的通知》环办[2015]52号、《环境影响评价法》和《建设项目环境保护管理条例》有关规定，以上变动不属于重大变更，可纳入竣工环境保护验收管理。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 xml:space="preserve"> </w:t>
      </w:r>
    </w:p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sectPr>
          <w:footerReference r:id="rId3" w:type="default"/>
          <w:pgSz w:w="11911" w:h="16838"/>
          <w:pgMar w:top="1440" w:right="1417" w:bottom="1440" w:left="1417" w:header="1015" w:footer="1219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0" w:distance="360"/>
          <w:pgNumType w:fmt="decimal" w:start="1"/>
          <w:cols w:space="720" w:num="1"/>
          <w:rtlGutter w:val="0"/>
          <w:docGrid w:linePitch="0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三、环境保护设施落实情况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（一）废水</w:t>
      </w:r>
    </w:p>
    <w:p>
      <w:pPr>
        <w:pStyle w:val="17"/>
        <w:pageBreakBefore w:val="0"/>
        <w:kinsoku/>
        <w:wordWrap/>
        <w:overflowPunct/>
        <w:topLinePunct w:val="0"/>
        <w:bidi w:val="0"/>
        <w:spacing w:line="360" w:lineRule="auto"/>
        <w:ind w:firstLine="560" w:firstLineChars="200"/>
        <w:textAlignment w:val="auto"/>
        <w:rPr>
          <w:rFonts w:hint="default" w:ascii="Times New Roman" w:hAnsi="Times New Roman" w:eastAsia="宋体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本项目废水主要包括生产废水和生活污水。生产废水主要包括木片洗涤废水、挤压撕裂废水、浓缩脱水和多圆盘过滤机产生的废水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，生活污水主要为职工办公生活污水。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多圆盘过滤机产生的废水全部回用于生产，木片洗涤废水、挤压撕裂废水、浓缩脱水和生活废水经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现有厂区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污水处理站处理，处理达标后部分回用，部分排入卫运河。</w:t>
      </w:r>
    </w:p>
    <w:p>
      <w:pPr>
        <w:pageBreakBefore w:val="0"/>
        <w:tabs>
          <w:tab w:val="left" w:pos="360"/>
        </w:tabs>
        <w:kinsoku/>
        <w:wordWrap/>
        <w:overflowPunct/>
        <w:topLinePunct w:val="0"/>
        <w:bidi w:val="0"/>
        <w:spacing w:line="360" w:lineRule="auto"/>
        <w:ind w:firstLine="422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（二）废气</w:t>
      </w:r>
    </w:p>
    <w:p>
      <w:pPr>
        <w:pageBreakBefore w:val="0"/>
        <w:tabs>
          <w:tab w:val="left" w:pos="360"/>
        </w:tabs>
        <w:kinsoku/>
        <w:wordWrap/>
        <w:overflowPunct/>
        <w:topLinePunct w:val="0"/>
        <w:bidi w:val="0"/>
        <w:spacing w:line="360" w:lineRule="auto"/>
        <w:ind w:firstLine="420" w:firstLineChars="150"/>
        <w:jc w:val="left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本项目工艺本身无废气产生，项目以木片为原料，木片堆放和筛分时会产生少量的粉尘。外购的木片含有一定的水分，湿度较大，通过原料堆场及备料车间内定期洒水，原料堆场周围设置挡土墙，备料车间则通过采取木片筛密闭设备、输送栈桥及料仓密闭等措施，粉尘产生量很小，于厂区内无组织排放。</w:t>
      </w:r>
    </w:p>
    <w:p>
      <w:pPr>
        <w:pageBreakBefore w:val="0"/>
        <w:tabs>
          <w:tab w:val="left" w:pos="360"/>
        </w:tabs>
        <w:kinsoku/>
        <w:wordWrap/>
        <w:overflowPunct/>
        <w:topLinePunct w:val="0"/>
        <w:bidi w:val="0"/>
        <w:spacing w:line="360" w:lineRule="auto"/>
        <w:ind w:firstLine="422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（三）噪声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zh-CN"/>
        </w:rPr>
        <w:t>项目的噪声源主要包括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zh-CN" w:eastAsia="zh-CN"/>
        </w:rPr>
        <w:t>脱水螺旋机、撕裂螺旋、高压磨浆机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zh-CN"/>
        </w:rPr>
        <w:t>等设备运转产生的噪声，通过采取基础减振、车间隔声和距离衰减等措施降低对周围环境的影响。</w:t>
      </w:r>
    </w:p>
    <w:p>
      <w:pPr>
        <w:pageBreakBefore w:val="0"/>
        <w:tabs>
          <w:tab w:val="left" w:pos="360"/>
        </w:tabs>
        <w:kinsoku/>
        <w:wordWrap/>
        <w:overflowPunct/>
        <w:topLinePunct w:val="0"/>
        <w:bidi w:val="0"/>
        <w:spacing w:line="360" w:lineRule="auto"/>
        <w:ind w:firstLine="422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（四）固体废物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本项目生产过程中产生的固体废物主要有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木屑、泥沙、生活垃圾及废油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。</w:t>
      </w:r>
    </w:p>
    <w:p>
      <w:pPr>
        <w:pStyle w:val="1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after="0" w:line="360" w:lineRule="auto"/>
        <w:ind w:firstLine="560" w:firstLineChars="200"/>
        <w:jc w:val="left"/>
        <w:textAlignment w:val="auto"/>
        <w:rPr>
          <w:rFonts w:hint="default" w:ascii="Noto Sans Mono CJK KR Regular" w:hAnsi="Noto Sans Mono CJK KR Regular" w:eastAsia="Noto Sans Mono CJK KR Regular" w:cs="Noto Sans Mono CJK KR Regular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项目生产过程中产生木屑和泥沙，木屑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产生量720t，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收集后外售北京赤兔物流有限公司临清分公司，泥沙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产生量1304t，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由环卫部门统一清运；生活垃圾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产生量</w:t>
      </w:r>
      <w:r>
        <w:rPr>
          <w:rFonts w:hint="eastAsia" w:cs="Times New Roman"/>
          <w:color w:val="000000"/>
          <w:kern w:val="0"/>
          <w:sz w:val="28"/>
          <w:szCs w:val="28"/>
          <w:lang w:val="en-US" w:eastAsia="zh-CN" w:bidi="ar"/>
        </w:rPr>
        <w:t>2.6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t，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由环卫部门定期清运；废油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暂时还未产生，产生时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暂存于危废间，委托</w:t>
      </w: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淄博开发区多纶油剂化工有限公司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四、验收监测结果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（一）环保设施运行检测结果</w:t>
      </w:r>
    </w:p>
    <w:p>
      <w:pPr>
        <w:pageBreakBefore w:val="0"/>
        <w:widowControl/>
        <w:kinsoku/>
        <w:wordWrap/>
        <w:overflowPunct/>
        <w:topLinePunct w:val="0"/>
        <w:bidi w:val="0"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出具的《</w:t>
      </w:r>
      <w:r>
        <w:rPr>
          <w:rFonts w:hint="eastAsia" w:cs="Times New Roman" w:eastAsiaTheme="majorEastAsia"/>
          <w:sz w:val="28"/>
          <w:szCs w:val="28"/>
          <w:lang w:eastAsia="zh-CN"/>
        </w:rPr>
        <w:t>中冶纸业银河有限公司年产10万吨杨木化机浆工程项目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竣工环境保护验收监测报告》监测结果表明：</w:t>
      </w:r>
    </w:p>
    <w:p>
      <w:pPr>
        <w:pageBreakBefore w:val="0"/>
        <w:kinsoku/>
        <w:wordWrap/>
        <w:overflowPunct/>
        <w:topLinePunct w:val="0"/>
        <w:bidi w:val="0"/>
        <w:spacing w:line="360" w:lineRule="auto"/>
        <w:ind w:left="141" w:leftChars="67" w:firstLine="697" w:firstLineChars="249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1.废气</w:t>
      </w:r>
    </w:p>
    <w:p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验收监测期间，无组织排放废气厂界监控点颗粒物小时排放浓度最大为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0.415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  <w:t>mg/m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  <w:vertAlign w:val="superscript"/>
        </w:rPr>
        <w:t>3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满足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zh-CN"/>
        </w:rPr>
        <w:t>《大气污染物综合排放标准》（GB16297-1996）表2中无组织排放监控浓度限值要求。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360" w:lineRule="auto"/>
        <w:ind w:firstLine="560" w:firstLineChars="200"/>
        <w:textAlignment w:val="auto"/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废水</w:t>
      </w:r>
    </w:p>
    <w:p>
      <w:pPr>
        <w:pageBreakBefore w:val="0"/>
        <w:kinsoku/>
        <w:wordWrap/>
        <w:overflowPunct/>
        <w:topLinePunct w:val="0"/>
        <w:bidi w:val="0"/>
        <w:spacing w:line="360" w:lineRule="auto"/>
        <w:ind w:firstLine="560" w:firstLineChars="200"/>
        <w:textAlignment w:val="auto"/>
        <w:rPr>
          <w:rFonts w:hint="default" w:ascii="Times New Roman" w:hAnsi="Times New Roman" w:eastAsia="宋体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验收监测期间，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污水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总排口废水2天监测中pH测定范围在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6.94-7.11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，COD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vertAlign w:val="subscript"/>
        </w:rPr>
        <w:t>Cr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、BOD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vertAlign w:val="subscript"/>
        </w:rPr>
        <w:t>5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、NH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vertAlign w:val="subscript"/>
        </w:rPr>
        <w:t>3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-N、SS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最大值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分别为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37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mg/L、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9.5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mg/L、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1.70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mg/L、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13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mg/L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以上均符合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《流域水污染物综合排放标准 第4部分：海河流域》（DB37/3416.4-2018）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及《地表水环境质量标准》（GB3838-2002）Ⅴ类标准</w:t>
      </w:r>
      <w:r>
        <w:rPr>
          <w:rFonts w:hint="default" w:ascii="Times New Roman" w:hAnsi="Times New Roman" w:eastAsia="宋体" w:cs="Times New Roman"/>
          <w:sz w:val="28"/>
          <w:szCs w:val="28"/>
        </w:rPr>
        <w:t>。</w:t>
      </w:r>
    </w:p>
    <w:p>
      <w:pPr>
        <w:pageBreakBefore w:val="0"/>
        <w:kinsoku/>
        <w:wordWrap/>
        <w:overflowPunct/>
        <w:topLinePunct w:val="0"/>
        <w:bidi w:val="0"/>
        <w:spacing w:line="360" w:lineRule="auto"/>
        <w:ind w:left="664" w:leftChars="316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噪声</w:t>
      </w:r>
    </w:p>
    <w:p>
      <w:pPr>
        <w:pageBreakBefore w:val="0"/>
        <w:kinsoku/>
        <w:wordWrap/>
        <w:overflowPunct/>
        <w:topLinePunct w:val="0"/>
        <w:bidi w:val="0"/>
        <w:spacing w:line="360" w:lineRule="auto"/>
        <w:ind w:firstLine="560" w:firstLineChars="200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验收监测期间，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东、西和北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厂界昼间噪声测定值在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56.8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  <w:t>dB~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62.9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  <w:t>dB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之间，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夜间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噪声测定值在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47.2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  <w:t>dB~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52.2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  <w:t>dB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之间</w:t>
      </w:r>
      <w:r>
        <w:rPr>
          <w:rFonts w:hint="eastAsia" w:cs="Times New Roman"/>
          <w:color w:val="auto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满足《工业企业厂界环境噪声排放标准》（GB 12348-2008）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类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标准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；南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厂界昼间噪声测定值在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62.3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  <w:t>dB~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63.7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  <w:t>dB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之间，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夜间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噪声测定值在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51.7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  <w:t>dB~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  <w:lang w:val="en-US" w:eastAsia="zh-CN"/>
        </w:rPr>
        <w:t>53.0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  <w:t>dB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之间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满足《工业企业厂界环境噪声排放标准》（GB 12348-2008）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4类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</w:rPr>
        <w:t>标准要求。</w:t>
      </w:r>
    </w:p>
    <w:p>
      <w:pPr>
        <w:pageBreakBefore w:val="0"/>
        <w:kinsoku/>
        <w:wordWrap/>
        <w:overflowPunct/>
        <w:topLinePunct w:val="0"/>
        <w:bidi w:val="0"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.固体废物</w:t>
      </w:r>
    </w:p>
    <w:p>
      <w:pPr>
        <w:pageBreakBefore w:val="0"/>
        <w:kinsoku/>
        <w:wordWrap/>
        <w:overflowPunct/>
        <w:topLinePunct w:val="0"/>
        <w:bidi w:val="0"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见三、（四）款。</w:t>
      </w:r>
    </w:p>
    <w:p>
      <w:pPr>
        <w:pageBreakBefore w:val="0"/>
        <w:tabs>
          <w:tab w:val="left" w:pos="360"/>
        </w:tabs>
        <w:kinsoku/>
        <w:wordWrap/>
        <w:overflowPunct/>
        <w:topLinePunct w:val="0"/>
        <w:bidi w:val="0"/>
        <w:spacing w:line="360" w:lineRule="auto"/>
        <w:ind w:firstLine="361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4"/>
        </w:rPr>
      </w:pPr>
      <w:r>
        <w:rPr>
          <w:rFonts w:hint="default" w:ascii="Times New Roman" w:hAnsi="Times New Roman" w:cs="Times New Roman" w:eastAsiaTheme="majorEastAsia"/>
          <w:b/>
          <w:sz w:val="24"/>
        </w:rPr>
        <w:t>（二）环境管理调查</w:t>
      </w:r>
    </w:p>
    <w:p>
      <w:pPr>
        <w:pageBreakBefore w:val="0"/>
        <w:kinsoku/>
        <w:wordWrap/>
        <w:overflowPunct/>
        <w:topLinePunct w:val="0"/>
        <w:bidi w:val="0"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inorEastAsia"/>
          <w:sz w:val="28"/>
          <w:szCs w:val="36"/>
        </w:rPr>
      </w:pPr>
      <w:r>
        <w:rPr>
          <w:rFonts w:hint="default" w:ascii="Times New Roman" w:hAnsi="Times New Roman" w:cs="Times New Roman" w:eastAsiaTheme="minorEastAsia"/>
          <w:sz w:val="28"/>
          <w:szCs w:val="36"/>
        </w:rPr>
        <w:t>1、环评批复及三同时执行情况调查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560" w:firstLineChars="200"/>
        <w:textAlignment w:val="auto"/>
        <w:rPr>
          <w:rFonts w:hint="default" w:ascii="Times New Roman" w:hAnsi="Times New Roman" w:cs="Times New Roman" w:eastAsiaTheme="minorEastAsia"/>
        </w:rPr>
      </w:pPr>
      <w:r>
        <w:rPr>
          <w:rFonts w:hint="default" w:ascii="Times New Roman" w:hAnsi="Times New Roman" w:cs="Times New Roman" w:eastAsiaTheme="minorEastAsia"/>
          <w:sz w:val="28"/>
          <w:szCs w:val="36"/>
        </w:rPr>
        <w:t>项目严格落实环评批复要求，并且生产设备与环保设备同时施工，同时运行，同时投产使用。</w:t>
      </w:r>
    </w:p>
    <w:p>
      <w:pPr>
        <w:pageBreakBefore w:val="0"/>
        <w:kinsoku/>
        <w:wordWrap/>
        <w:overflowPunct/>
        <w:topLinePunct w:val="0"/>
        <w:bidi w:val="0"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inorEastAsia"/>
          <w:color w:val="0070C0"/>
          <w:sz w:val="28"/>
          <w:szCs w:val="36"/>
        </w:rPr>
      </w:pPr>
      <w:r>
        <w:rPr>
          <w:rFonts w:hint="default" w:ascii="Times New Roman" w:hAnsi="Times New Roman" w:cs="Times New Roman" w:eastAsiaTheme="minorEastAsia"/>
          <w:sz w:val="28"/>
          <w:szCs w:val="36"/>
        </w:rPr>
        <w:t>2、组织</w:t>
      </w:r>
      <w:r>
        <w:rPr>
          <w:rFonts w:hint="default" w:ascii="Times New Roman" w:hAnsi="Times New Roman" w:cs="Times New Roman" w:eastAsiaTheme="minorEastAsia"/>
          <w:sz w:val="28"/>
          <w:szCs w:val="36"/>
          <w:lang w:eastAsia="zh-CN"/>
        </w:rPr>
        <w:t>机</w:t>
      </w:r>
      <w:r>
        <w:rPr>
          <w:rFonts w:hint="default" w:ascii="Times New Roman" w:hAnsi="Times New Roman" w:cs="Times New Roman" w:eastAsiaTheme="minorEastAsia"/>
          <w:sz w:val="28"/>
          <w:szCs w:val="36"/>
        </w:rPr>
        <w:t>构及制度</w:t>
      </w:r>
    </w:p>
    <w:p>
      <w:pPr>
        <w:pageBreakBefore w:val="0"/>
        <w:kinsoku/>
        <w:wordWrap/>
        <w:overflowPunct/>
        <w:topLinePunct w:val="0"/>
        <w:bidi w:val="0"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inorEastAsia"/>
          <w:color w:val="000000"/>
          <w:sz w:val="28"/>
          <w:szCs w:val="28"/>
        </w:rPr>
      </w:pPr>
      <w:r>
        <w:rPr>
          <w:rFonts w:hint="eastAsia" w:cs="Times New Roman" w:eastAsiaTheme="minorEastAsia"/>
          <w:sz w:val="28"/>
          <w:szCs w:val="36"/>
          <w:lang w:eastAsia="zh-CN"/>
        </w:rPr>
        <w:t>中冶纸业银河有限公司</w:t>
      </w:r>
      <w:r>
        <w:rPr>
          <w:rFonts w:hint="default" w:ascii="Times New Roman" w:hAnsi="Times New Roman" w:cs="Times New Roman" w:eastAsiaTheme="minorEastAsia"/>
          <w:color w:val="000000"/>
          <w:sz w:val="28"/>
          <w:szCs w:val="28"/>
        </w:rPr>
        <w:t>制定了《</w:t>
      </w:r>
      <w:r>
        <w:rPr>
          <w:rFonts w:hint="eastAsia" w:cs="Times New Roman" w:eastAsiaTheme="minorEastAsia"/>
          <w:sz w:val="28"/>
          <w:szCs w:val="36"/>
          <w:lang w:eastAsia="zh-CN"/>
        </w:rPr>
        <w:t>中冶纸业银河有限公司</w:t>
      </w:r>
      <w:r>
        <w:rPr>
          <w:rFonts w:hint="default" w:ascii="Times New Roman" w:hAnsi="Times New Roman" w:cs="Times New Roman" w:eastAsiaTheme="minorEastAsia"/>
          <w:color w:val="000000"/>
          <w:sz w:val="28"/>
          <w:szCs w:val="28"/>
        </w:rPr>
        <w:t>环保管理制度》,并设立了相关机构。日常工作由办公室管理，其主要职责是：行使公司环保工作的计划、组织、指挥、协调、检查和考核管理职能，日常一切工作须对公司负责。</w:t>
      </w:r>
      <w:bookmarkStart w:id="0" w:name="_Toc444762271"/>
      <w:bookmarkStart w:id="1" w:name="_Toc397587934"/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inorEastAsia"/>
          <w:b w:val="0"/>
          <w:bCs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 w:val="0"/>
          <w:bCs/>
          <w:sz w:val="28"/>
          <w:szCs w:val="28"/>
          <w:lang w:val="en-US" w:eastAsia="zh-CN"/>
        </w:rPr>
        <w:t>3、</w:t>
      </w:r>
      <w:r>
        <w:rPr>
          <w:rFonts w:hint="default" w:ascii="Times New Roman" w:hAnsi="Times New Roman" w:cs="Times New Roman" w:eastAsiaTheme="minorEastAsia"/>
          <w:b w:val="0"/>
          <w:bCs/>
          <w:sz w:val="28"/>
          <w:szCs w:val="28"/>
        </w:rPr>
        <w:t>环境风险防范</w:t>
      </w:r>
      <w:bookmarkEnd w:id="0"/>
      <w:bookmarkEnd w:id="1"/>
      <w:r>
        <w:rPr>
          <w:rFonts w:hint="default" w:ascii="Times New Roman" w:hAnsi="Times New Roman" w:cs="Times New Roman" w:eastAsiaTheme="minorEastAsia"/>
          <w:b w:val="0"/>
          <w:bCs/>
          <w:sz w:val="28"/>
          <w:szCs w:val="28"/>
        </w:rPr>
        <w:t>调查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inorEastAsia"/>
          <w:b w:val="0"/>
          <w:bCs/>
          <w:sz w:val="28"/>
          <w:szCs w:val="28"/>
        </w:rPr>
      </w:pPr>
      <w:r>
        <w:rPr>
          <w:rFonts w:hint="eastAsia" w:cs="Times New Roman" w:eastAsiaTheme="minorEastAsia"/>
          <w:b w:val="0"/>
          <w:bCs/>
          <w:sz w:val="28"/>
          <w:szCs w:val="28"/>
          <w:lang w:eastAsia="zh-CN"/>
        </w:rPr>
        <w:t>依托</w:t>
      </w:r>
      <w:r>
        <w:rPr>
          <w:rFonts w:hint="default" w:ascii="Times New Roman" w:hAnsi="Times New Roman" w:cs="Times New Roman" w:eastAsiaTheme="minorEastAsia"/>
          <w:b w:val="0"/>
          <w:bCs/>
          <w:sz w:val="28"/>
          <w:szCs w:val="28"/>
        </w:rPr>
        <w:t>建设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现</w:t>
      </w:r>
      <w:r>
        <w:rPr>
          <w:rFonts w:hint="default" w:ascii="Times New Roman" w:hAnsi="Times New Roman" w:cs="Times New Roman" w:eastAsiaTheme="minorEastAsia"/>
          <w:b w:val="0"/>
          <w:bCs/>
          <w:sz w:val="28"/>
          <w:szCs w:val="28"/>
          <w:lang w:val="en-US" w:eastAsia="zh-CN"/>
        </w:rPr>
        <w:t>有6.8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万m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vertAlign w:val="superscript"/>
          <w:lang w:val="en-US" w:eastAsia="zh-CN" w:bidi="ar"/>
        </w:rPr>
        <w:t>3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事故水池，确</w:t>
      </w:r>
      <w:r>
        <w:rPr>
          <w:rFonts w:hint="default" w:ascii="Times New Roman" w:hAnsi="Times New Roman" w:cs="Times New Roman" w:eastAsiaTheme="minorEastAsia"/>
          <w:b w:val="0"/>
          <w:bCs/>
          <w:sz w:val="28"/>
          <w:szCs w:val="28"/>
        </w:rPr>
        <w:t>保发生事故时，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物料及消防水</w:t>
      </w:r>
      <w:r>
        <w:rPr>
          <w:rFonts w:hint="default" w:ascii="Times New Roman" w:hAnsi="Times New Roman" w:cs="Times New Roman" w:eastAsiaTheme="minorEastAsia"/>
          <w:b w:val="0"/>
          <w:bCs/>
          <w:sz w:val="28"/>
          <w:szCs w:val="28"/>
        </w:rPr>
        <w:t>可全部通过废水收集系统进入事故水池。项目整个厂区均采用水泥硬化地面，事故水池等采取重点防渗措施，并加强生活污水收集管道的防渗、防漏处理。</w:t>
      </w:r>
    </w:p>
    <w:p>
      <w:pPr>
        <w:pStyle w:val="3"/>
        <w:pageBreakBefore w:val="0"/>
        <w:widowControl/>
        <w:kinsoku/>
        <w:wordWrap/>
        <w:overflowPunct/>
        <w:topLinePunct w:val="0"/>
        <w:bidi w:val="0"/>
        <w:spacing w:before="0" w:after="0" w:line="360" w:lineRule="auto"/>
        <w:ind w:firstLine="560"/>
        <w:textAlignment w:val="auto"/>
        <w:rPr>
          <w:rFonts w:hint="default" w:ascii="Times New Roman" w:hAnsi="Times New Roman" w:cs="Times New Roman" w:eastAsiaTheme="minorEastAsia"/>
          <w:b w:val="0"/>
          <w:bCs/>
          <w:sz w:val="28"/>
          <w:szCs w:val="28"/>
        </w:rPr>
      </w:pPr>
      <w:r>
        <w:rPr>
          <w:rFonts w:hint="default" w:ascii="Times New Roman" w:hAnsi="Times New Roman" w:cs="Times New Roman" w:eastAsiaTheme="minorEastAsia"/>
          <w:b w:val="0"/>
          <w:bCs/>
          <w:sz w:val="28"/>
          <w:szCs w:val="28"/>
        </w:rPr>
        <w:t>4、应急预案调查及备案</w:t>
      </w:r>
    </w:p>
    <w:p>
      <w:pPr>
        <w:pageBreakBefore w:val="0"/>
        <w:kinsoku/>
        <w:wordWrap/>
        <w:overflowPunct/>
        <w:topLinePunct w:val="0"/>
        <w:bidi w:val="0"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已编制突发环境事件应急预案，</w:t>
      </w:r>
      <w:r>
        <w:rPr>
          <w:rFonts w:hint="eastAsia" w:cs="Times New Roman" w:eastAsiaTheme="minorEastAsia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并在</w:t>
      </w:r>
      <w:r>
        <w:rPr>
          <w:rFonts w:hint="default" w:cs="Times New Roman" w:eastAsiaTheme="minorEastAsia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聊城市生态环境局临清市分局及聊城市生态环境局备案</w:t>
      </w:r>
      <w:r>
        <w:rPr>
          <w:rFonts w:hint="default" w:ascii="Times New Roman" w:hAnsi="Times New Roman" w:cs="Times New Roman" w:eastAsia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pageBreakBefore w:val="0"/>
        <w:kinsoku/>
        <w:wordWrap/>
        <w:overflowPunct/>
        <w:topLinePunct w:val="0"/>
        <w:bidi w:val="0"/>
        <w:spacing w:line="360" w:lineRule="auto"/>
        <w:ind w:firstLine="560" w:firstLineChars="200"/>
        <w:textAlignment w:val="auto"/>
        <w:rPr>
          <w:rFonts w:hint="default" w:ascii="Times New Roman" w:hAnsi="Times New Roman" w:cs="Times New Roman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5、排污口规范化情况调查</w:t>
      </w:r>
    </w:p>
    <w:p>
      <w:pPr>
        <w:pStyle w:val="12"/>
        <w:pageBreakBefore w:val="0"/>
        <w:kinsoku/>
        <w:wordWrap/>
        <w:overflowPunct/>
        <w:topLinePunct w:val="0"/>
        <w:bidi w:val="0"/>
        <w:spacing w:after="0" w:line="360" w:lineRule="auto"/>
        <w:ind w:left="0" w:leftChars="0" w:firstLine="560"/>
        <w:textAlignment w:val="auto"/>
        <w:rPr>
          <w:rFonts w:hint="default" w:ascii="Times New Roman" w:hAnsi="Times New Roman" w:cs="Times New Roman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按照国家规范设置了排污口，并安装了排污口标示。</w:t>
      </w:r>
    </w:p>
    <w:p>
      <w:pPr>
        <w:pageBreakBefore w:val="0"/>
        <w:kinsoku/>
        <w:wordWrap/>
        <w:overflowPunct/>
        <w:topLinePunct w:val="0"/>
        <w:bidi w:val="0"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五、验收结论</w:t>
      </w:r>
    </w:p>
    <w:p>
      <w:pPr>
        <w:pageBreakBefore w:val="0"/>
        <w:kinsoku/>
        <w:wordWrap/>
        <w:overflowPunct/>
        <w:topLinePunct w:val="0"/>
        <w:bidi w:val="0"/>
        <w:spacing w:line="360" w:lineRule="auto"/>
        <w:ind w:firstLine="555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该项目实施过程中按照环评及其批复要求落实了相关环保措施，建立了相应的环保管理制度，项目建设过程无重大变更。验收监测各项指标满足国家相关排放标准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。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鉴于项目符合国家和地方相关产业标准及准入要求，环保设施与生产配套，验收期间各项监测指标满足国家相关排放标准，该项目通过环保验收。</w:t>
      </w:r>
    </w:p>
    <w:p>
      <w:pPr>
        <w:pageBreakBefore w:val="0"/>
        <w:kinsoku/>
        <w:wordWrap/>
        <w:overflowPunct/>
        <w:topLinePunct w:val="0"/>
        <w:bidi w:val="0"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六、后续要求</w:t>
      </w:r>
    </w:p>
    <w:p>
      <w:pPr>
        <w:pStyle w:val="18"/>
        <w:pageBreakBefore w:val="0"/>
        <w:kinsoku/>
        <w:wordWrap/>
        <w:overflowPunct/>
        <w:topLinePunct w:val="0"/>
        <w:bidi w:val="0"/>
        <w:spacing w:line="360" w:lineRule="auto"/>
        <w:ind w:firstLine="560"/>
        <w:jc w:val="left"/>
        <w:textAlignment w:val="auto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1、进一步规范验收监测报告编制内容。</w:t>
      </w:r>
    </w:p>
    <w:p>
      <w:pPr>
        <w:pStyle w:val="2"/>
        <w:pageBreakBefore w:val="0"/>
        <w:kinsoku/>
        <w:wordWrap/>
        <w:overflowPunct/>
        <w:topLinePunct w:val="0"/>
        <w:bidi w:val="0"/>
        <w:spacing w:line="360" w:lineRule="auto"/>
        <w:ind w:firstLine="562"/>
        <w:textAlignment w:val="auto"/>
        <w:rPr>
          <w:rFonts w:hint="default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  <w:t>2、</w:t>
      </w:r>
      <w:r>
        <w:rPr>
          <w:rFonts w:hint="eastAsia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  <w:t>建议料场增加防尘网</w:t>
      </w:r>
      <w:r>
        <w:rPr>
          <w:rFonts w:hint="default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pageBreakBefore w:val="0"/>
        <w:kinsoku/>
        <w:wordWrap/>
        <w:overflowPunct/>
        <w:topLinePunct w:val="0"/>
        <w:bidi w:val="0"/>
        <w:spacing w:line="360" w:lineRule="auto"/>
        <w:ind w:firstLine="562"/>
        <w:textAlignment w:val="auto"/>
        <w:rPr>
          <w:rFonts w:hint="default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  <w:t>3、</w:t>
      </w:r>
      <w:r>
        <w:rPr>
          <w:rFonts w:hint="eastAsia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  <w:t>建议污水处理站产臭部位增设恶臭处理装置</w:t>
      </w:r>
      <w:r>
        <w:rPr>
          <w:rFonts w:hint="default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pageBreakBefore w:val="0"/>
        <w:kinsoku/>
        <w:wordWrap/>
        <w:overflowPunct/>
        <w:topLinePunct w:val="0"/>
        <w:bidi w:val="0"/>
        <w:spacing w:line="360" w:lineRule="auto"/>
        <w:ind w:firstLine="562"/>
        <w:textAlignment w:val="auto"/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 w:eastAsiaTheme="majorEastAsia"/>
          <w:kern w:val="2"/>
          <w:sz w:val="28"/>
          <w:szCs w:val="28"/>
          <w:lang w:val="en-US" w:eastAsia="zh-CN" w:bidi="ar-SA"/>
        </w:rPr>
        <w:t>4、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lang w:eastAsia="zh-CN"/>
        </w:rPr>
        <w:t>待企业运行一年后危废产生量与环评相比，若超过20%或者少于50%时需对危废专门论证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。</w:t>
      </w:r>
    </w:p>
    <w:p>
      <w:pPr>
        <w:pStyle w:val="2"/>
        <w:pageBreakBefore w:val="0"/>
        <w:kinsoku/>
        <w:wordWrap/>
        <w:overflowPunct/>
        <w:topLinePunct w:val="0"/>
        <w:bidi w:val="0"/>
        <w:spacing w:line="360" w:lineRule="auto"/>
        <w:ind w:firstLine="562"/>
        <w:textAlignment w:val="auto"/>
        <w:rPr>
          <w:rFonts w:hint="default" w:ascii="Times New Roman" w:hAnsi="Times New Roman" w:cs="Times New Roman" w:eastAsiaTheme="min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5、</w:t>
      </w:r>
      <w:r>
        <w:rPr>
          <w:rFonts w:hint="default" w:ascii="Times New Roman" w:hAnsi="Times New Roman" w:cs="Times New Roman" w:eastAsiaTheme="minorEastAsia"/>
          <w:sz w:val="28"/>
          <w:szCs w:val="28"/>
        </w:rPr>
        <w:t>定期开展</w:t>
      </w:r>
      <w:r>
        <w:rPr>
          <w:rFonts w:hint="default" w:ascii="Times New Roman" w:hAnsi="Times New Roman" w:cs="Times New Roman" w:eastAsiaTheme="minorEastAsia"/>
          <w:sz w:val="28"/>
          <w:szCs w:val="28"/>
          <w:lang w:eastAsia="zh-CN"/>
        </w:rPr>
        <w:t>废气、</w:t>
      </w:r>
      <w:r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  <w:t>废水、</w:t>
      </w:r>
      <w:r>
        <w:rPr>
          <w:rFonts w:hint="default" w:ascii="Times New Roman" w:hAnsi="Times New Roman" w:cs="Times New Roman" w:eastAsiaTheme="minorEastAsia"/>
          <w:sz w:val="28"/>
          <w:szCs w:val="28"/>
        </w:rPr>
        <w:t>噪声等污染物自行监测；按照《企事业单位环境信息公开管理办法》要求进行环境信息公开</w:t>
      </w:r>
      <w:r>
        <w:rPr>
          <w:rFonts w:hint="default" w:ascii="Times New Roman" w:hAnsi="Times New Roman" w:cs="Times New Roman" w:eastAsiaTheme="minorEastAsia"/>
          <w:sz w:val="28"/>
          <w:szCs w:val="28"/>
          <w:lang w:eastAsia="zh-CN"/>
        </w:rPr>
        <w:t>。</w:t>
      </w:r>
    </w:p>
    <w:p>
      <w:pPr>
        <w:pStyle w:val="2"/>
        <w:ind w:firstLine="562"/>
        <w:rPr>
          <w:rFonts w:hint="default" w:ascii="Times New Roman" w:hAnsi="Times New Roman" w:cs="Times New Roman" w:eastAsiaTheme="majorEastAsia"/>
          <w:b/>
        </w:rPr>
      </w:pPr>
      <w:r>
        <w:rPr>
          <w:rFonts w:hint="default" w:ascii="Times New Roman" w:hAnsi="Times New Roman" w:cs="Times New Roman" w:eastAsiaTheme="majorEastAsia"/>
          <w:b/>
        </w:rPr>
        <w:t>七、验收组名单</w:t>
      </w:r>
    </w:p>
    <w:p>
      <w:pPr>
        <w:pStyle w:val="2"/>
        <w:ind w:firstLine="560"/>
        <w:rPr>
          <w:rFonts w:hint="default" w:ascii="Times New Roman" w:hAnsi="Times New Roman" w:cs="Times New Roman" w:eastAsiaTheme="majorEastAsia"/>
        </w:rPr>
      </w:pPr>
      <w:r>
        <w:rPr>
          <w:rFonts w:hint="default" w:ascii="Times New Roman" w:hAnsi="Times New Roman" w:cs="Times New Roman" w:eastAsiaTheme="majorEastAsia"/>
        </w:rPr>
        <w:t>见附件。</w:t>
      </w:r>
    </w:p>
    <w:p>
      <w:pPr>
        <w:spacing w:line="360" w:lineRule="auto"/>
        <w:jc w:val="both"/>
        <w:rPr>
          <w:rFonts w:hint="eastAsia" w:cs="Times New Roman" w:eastAsiaTheme="majorEastAsia"/>
          <w:sz w:val="28"/>
          <w:szCs w:val="28"/>
          <w:lang w:eastAsia="zh-CN"/>
        </w:rPr>
      </w:pPr>
    </w:p>
    <w:p>
      <w:pPr>
        <w:spacing w:line="360" w:lineRule="auto"/>
        <w:jc w:val="right"/>
        <w:rPr>
          <w:rFonts w:hint="eastAsia" w:cs="Times New Roman" w:eastAsiaTheme="majorEastAsia"/>
          <w:sz w:val="28"/>
          <w:szCs w:val="28"/>
          <w:lang w:eastAsia="zh-CN"/>
        </w:rPr>
      </w:pPr>
    </w:p>
    <w:p>
      <w:pPr>
        <w:spacing w:line="360" w:lineRule="auto"/>
        <w:jc w:val="righ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lang w:eastAsia="zh-CN"/>
        </w:rPr>
        <w:t>中冶纸业银河有限公司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验收组</w:t>
      </w:r>
    </w:p>
    <w:p>
      <w:pPr>
        <w:spacing w:line="360" w:lineRule="auto"/>
        <w:jc w:val="right"/>
        <w:rPr>
          <w:rFonts w:hint="default" w:ascii="Times New Roman" w:hAnsi="Times New Roman" w:cs="Times New Roman" w:eastAsiaTheme="majorEastAsia"/>
          <w:highlight w:val="none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 xml:space="preserve">   20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20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年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4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月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22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日</w:t>
      </w:r>
    </w:p>
    <w:sectPr>
      <w:footerReference r:id="rId4" w:type="default"/>
      <w:pgSz w:w="11906" w:h="16838"/>
      <w:pgMar w:top="1417" w:right="1417" w:bottom="1417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oto Sans Mono CJK KR Regular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right="360"/>
      <w:jc w:val="center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  <w:rPr>
                              <w:rFonts w:hint="default" w:ascii="Times New Roman" w:hAnsi="Times New Roman" w:eastAsia="宋体" w:cs="Times New Roman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default" w:ascii="Times New Roman" w:hAnsi="Times New Roman" w:cs="Times New Roman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default" w:ascii="Times New Roman" w:hAnsi="Times New Roman" w:eastAsia="宋体" w:cs="Times New Roman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t>10</w:t>
                    </w:r>
                    <w:r>
                      <w:rPr>
                        <w:rFonts w:hint="default" w:ascii="Times New Roman" w:hAnsi="Times New Roman" w:cs="Times New Roman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880"/>
    <w:rsid w:val="00071917"/>
    <w:rsid w:val="00084955"/>
    <w:rsid w:val="00143251"/>
    <w:rsid w:val="001A0880"/>
    <w:rsid w:val="002E1900"/>
    <w:rsid w:val="0043412A"/>
    <w:rsid w:val="00456A2F"/>
    <w:rsid w:val="004A6ED1"/>
    <w:rsid w:val="004B3592"/>
    <w:rsid w:val="0060420F"/>
    <w:rsid w:val="00BB6087"/>
    <w:rsid w:val="00E33CC9"/>
    <w:rsid w:val="00E37A97"/>
    <w:rsid w:val="012C4B77"/>
    <w:rsid w:val="01ED3F9D"/>
    <w:rsid w:val="020B4658"/>
    <w:rsid w:val="06C81383"/>
    <w:rsid w:val="07A55512"/>
    <w:rsid w:val="082F3CF5"/>
    <w:rsid w:val="090C6538"/>
    <w:rsid w:val="09BE79D2"/>
    <w:rsid w:val="0B055D8B"/>
    <w:rsid w:val="0BB105F9"/>
    <w:rsid w:val="0BCD78E3"/>
    <w:rsid w:val="0BD4352F"/>
    <w:rsid w:val="0D8E2065"/>
    <w:rsid w:val="0EDC7A73"/>
    <w:rsid w:val="0FF7137B"/>
    <w:rsid w:val="10E652F6"/>
    <w:rsid w:val="13242E95"/>
    <w:rsid w:val="15B30ADC"/>
    <w:rsid w:val="17666C3D"/>
    <w:rsid w:val="176C6CB9"/>
    <w:rsid w:val="17A32894"/>
    <w:rsid w:val="18100048"/>
    <w:rsid w:val="18D05E89"/>
    <w:rsid w:val="19776944"/>
    <w:rsid w:val="19BD6A9B"/>
    <w:rsid w:val="1A2006BD"/>
    <w:rsid w:val="1AAF6CA7"/>
    <w:rsid w:val="1B7A3E6E"/>
    <w:rsid w:val="1C8968BE"/>
    <w:rsid w:val="1C9713D3"/>
    <w:rsid w:val="1E6E0F57"/>
    <w:rsid w:val="21AD125E"/>
    <w:rsid w:val="21BA2C6C"/>
    <w:rsid w:val="21E02612"/>
    <w:rsid w:val="22271ADE"/>
    <w:rsid w:val="22A72464"/>
    <w:rsid w:val="236471BD"/>
    <w:rsid w:val="24A41C66"/>
    <w:rsid w:val="259D4021"/>
    <w:rsid w:val="26BC5663"/>
    <w:rsid w:val="27420539"/>
    <w:rsid w:val="28BA2190"/>
    <w:rsid w:val="2A4101B1"/>
    <w:rsid w:val="2BFB35B9"/>
    <w:rsid w:val="2C2D0B50"/>
    <w:rsid w:val="2C4242BF"/>
    <w:rsid w:val="30CB2781"/>
    <w:rsid w:val="31572BC2"/>
    <w:rsid w:val="31BD7E3D"/>
    <w:rsid w:val="332B1F59"/>
    <w:rsid w:val="33567B9D"/>
    <w:rsid w:val="33775C0A"/>
    <w:rsid w:val="342934E4"/>
    <w:rsid w:val="343831D9"/>
    <w:rsid w:val="349A3D27"/>
    <w:rsid w:val="3608178F"/>
    <w:rsid w:val="378F40F5"/>
    <w:rsid w:val="37AC379A"/>
    <w:rsid w:val="37C4153C"/>
    <w:rsid w:val="3800281E"/>
    <w:rsid w:val="38551EF2"/>
    <w:rsid w:val="3B2962D5"/>
    <w:rsid w:val="3C0408A7"/>
    <w:rsid w:val="3FC04854"/>
    <w:rsid w:val="3FDD2C6F"/>
    <w:rsid w:val="3FEF0AD0"/>
    <w:rsid w:val="4021784B"/>
    <w:rsid w:val="42C56F22"/>
    <w:rsid w:val="42D02360"/>
    <w:rsid w:val="440B2C50"/>
    <w:rsid w:val="44801C86"/>
    <w:rsid w:val="45B12AB5"/>
    <w:rsid w:val="465D21C5"/>
    <w:rsid w:val="4848218B"/>
    <w:rsid w:val="4AA80130"/>
    <w:rsid w:val="4C7B6606"/>
    <w:rsid w:val="4CAE592A"/>
    <w:rsid w:val="4EDF6355"/>
    <w:rsid w:val="52082039"/>
    <w:rsid w:val="52300633"/>
    <w:rsid w:val="547348A8"/>
    <w:rsid w:val="54A46E50"/>
    <w:rsid w:val="56DE4E63"/>
    <w:rsid w:val="5AD75B85"/>
    <w:rsid w:val="5BC66C55"/>
    <w:rsid w:val="5D856FBE"/>
    <w:rsid w:val="5E9C2D23"/>
    <w:rsid w:val="5F0C4CFF"/>
    <w:rsid w:val="60395A44"/>
    <w:rsid w:val="614D2684"/>
    <w:rsid w:val="65826A80"/>
    <w:rsid w:val="65F40410"/>
    <w:rsid w:val="666B20F6"/>
    <w:rsid w:val="66FB5067"/>
    <w:rsid w:val="69965AB9"/>
    <w:rsid w:val="6A4209DB"/>
    <w:rsid w:val="6ABA50EB"/>
    <w:rsid w:val="6CF36FB3"/>
    <w:rsid w:val="6DA87B83"/>
    <w:rsid w:val="6DEB0CC4"/>
    <w:rsid w:val="6DF43CEC"/>
    <w:rsid w:val="71544088"/>
    <w:rsid w:val="717B6F2E"/>
    <w:rsid w:val="72321631"/>
    <w:rsid w:val="732B48DD"/>
    <w:rsid w:val="7340695F"/>
    <w:rsid w:val="736843FC"/>
    <w:rsid w:val="767A1490"/>
    <w:rsid w:val="769A38E7"/>
    <w:rsid w:val="76CB68B1"/>
    <w:rsid w:val="77314A22"/>
    <w:rsid w:val="77930543"/>
    <w:rsid w:val="77F46B3F"/>
    <w:rsid w:val="79F74EBF"/>
    <w:rsid w:val="7E2A3AB6"/>
    <w:rsid w:val="7F4274D3"/>
    <w:rsid w:val="7FF134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  <w:szCs w:val="44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li_正文"/>
    <w:basedOn w:val="1"/>
    <w:qFormat/>
    <w:uiPriority w:val="0"/>
    <w:pPr>
      <w:ind w:firstLine="200" w:firstLineChars="200"/>
      <w:jc w:val="left"/>
    </w:pPr>
    <w:rPr>
      <w:rFonts w:ascii="Calibri" w:hAnsi="Calibri"/>
      <w:sz w:val="28"/>
      <w:szCs w:val="28"/>
    </w:rPr>
  </w:style>
  <w:style w:type="paragraph" w:styleId="4">
    <w:name w:val="annotation text"/>
    <w:basedOn w:val="1"/>
    <w:link w:val="22"/>
    <w:semiHidden/>
    <w:unhideWhenUsed/>
    <w:qFormat/>
    <w:uiPriority w:val="99"/>
    <w:pPr>
      <w:jc w:val="left"/>
    </w:p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Block Text"/>
    <w:basedOn w:val="1"/>
    <w:semiHidden/>
    <w:unhideWhenUsed/>
    <w:qFormat/>
    <w:uiPriority w:val="99"/>
    <w:pPr>
      <w:ind w:left="525" w:leftChars="250" w:right="685" w:rightChars="326" w:firstLine="560"/>
    </w:pPr>
    <w:rPr>
      <w:sz w:val="28"/>
    </w:rPr>
  </w:style>
  <w:style w:type="paragraph" w:styleId="7">
    <w:name w:val="Plain Text"/>
    <w:basedOn w:val="1"/>
    <w:semiHidden/>
    <w:unhideWhenUsed/>
    <w:qFormat/>
    <w:uiPriority w:val="99"/>
    <w:rPr>
      <w:rFonts w:ascii="宋体" w:hAnsi="Courier New" w:cs="Courier New"/>
      <w:szCs w:val="21"/>
    </w:rPr>
  </w:style>
  <w:style w:type="paragraph" w:styleId="8">
    <w:name w:val="Balloon Text"/>
    <w:basedOn w:val="1"/>
    <w:link w:val="24"/>
    <w:qFormat/>
    <w:uiPriority w:val="0"/>
    <w:rPr>
      <w:sz w:val="18"/>
      <w:szCs w:val="18"/>
    </w:rPr>
  </w:style>
  <w:style w:type="paragraph" w:styleId="9">
    <w:name w:val="footer"/>
    <w:basedOn w:val="1"/>
    <w:link w:val="2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annotation subject"/>
    <w:basedOn w:val="4"/>
    <w:next w:val="4"/>
    <w:link w:val="23"/>
    <w:qFormat/>
    <w:uiPriority w:val="0"/>
    <w:rPr>
      <w:b/>
      <w:bCs/>
    </w:rPr>
  </w:style>
  <w:style w:type="paragraph" w:styleId="12">
    <w:name w:val="Body Text First Indent 2"/>
    <w:basedOn w:val="5"/>
    <w:next w:val="1"/>
    <w:qFormat/>
    <w:uiPriority w:val="0"/>
    <w:pPr>
      <w:ind w:firstLine="420" w:firstLineChars="200"/>
    </w:pPr>
  </w:style>
  <w:style w:type="table" w:styleId="14">
    <w:name w:val="Table Grid"/>
    <w:basedOn w:val="13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annotation reference"/>
    <w:basedOn w:val="15"/>
    <w:qFormat/>
    <w:uiPriority w:val="0"/>
    <w:rPr>
      <w:sz w:val="21"/>
      <w:szCs w:val="21"/>
    </w:rPr>
  </w:style>
  <w:style w:type="paragraph" w:customStyle="1" w:styleId="17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  <w:style w:type="paragraph" w:customStyle="1" w:styleId="19">
    <w:name w:val="报告表正文"/>
    <w:basedOn w:val="1"/>
    <w:qFormat/>
    <w:uiPriority w:val="0"/>
    <w:pPr>
      <w:tabs>
        <w:tab w:val="left" w:pos="7560"/>
      </w:tabs>
      <w:adjustRightInd w:val="0"/>
      <w:spacing w:line="360" w:lineRule="auto"/>
      <w:ind w:firstLine="480" w:firstLineChars="200"/>
    </w:pPr>
    <w:rPr>
      <w:bCs/>
      <w:sz w:val="24"/>
    </w:rPr>
  </w:style>
  <w:style w:type="character" w:customStyle="1" w:styleId="20">
    <w:name w:val="页眉 Char"/>
    <w:basedOn w:val="15"/>
    <w:link w:val="10"/>
    <w:qFormat/>
    <w:uiPriority w:val="0"/>
    <w:rPr>
      <w:kern w:val="2"/>
      <w:sz w:val="18"/>
      <w:szCs w:val="18"/>
    </w:rPr>
  </w:style>
  <w:style w:type="character" w:customStyle="1" w:styleId="21">
    <w:name w:val="页脚 Char"/>
    <w:basedOn w:val="15"/>
    <w:link w:val="9"/>
    <w:qFormat/>
    <w:uiPriority w:val="0"/>
    <w:rPr>
      <w:kern w:val="2"/>
      <w:sz w:val="18"/>
      <w:szCs w:val="18"/>
    </w:rPr>
  </w:style>
  <w:style w:type="character" w:customStyle="1" w:styleId="22">
    <w:name w:val="批注文字 Char"/>
    <w:basedOn w:val="15"/>
    <w:link w:val="4"/>
    <w:semiHidden/>
    <w:qFormat/>
    <w:uiPriority w:val="99"/>
    <w:rPr>
      <w:kern w:val="2"/>
      <w:sz w:val="21"/>
      <w:szCs w:val="24"/>
    </w:rPr>
  </w:style>
  <w:style w:type="character" w:customStyle="1" w:styleId="23">
    <w:name w:val="批注主题 Char"/>
    <w:basedOn w:val="22"/>
    <w:link w:val="11"/>
    <w:qFormat/>
    <w:uiPriority w:val="0"/>
  </w:style>
  <w:style w:type="character" w:customStyle="1" w:styleId="24">
    <w:name w:val="批注框文本 Char"/>
    <w:basedOn w:val="15"/>
    <w:link w:val="8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1190</Words>
  <Characters>1250</Characters>
  <Lines>52</Lines>
  <Paragraphs>58</Paragraphs>
  <TotalTime>77</TotalTime>
  <ScaleCrop>false</ScaleCrop>
  <LinksUpToDate>false</LinksUpToDate>
  <CharactersWithSpaces>2382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开心就好</cp:lastModifiedBy>
  <cp:lastPrinted>2020-05-13T09:01:17Z</cp:lastPrinted>
  <dcterms:modified xsi:type="dcterms:W3CDTF">2020-05-13T10:20:23Z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