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0" w:leftChars="0" w:hanging="13" w:firstLineChars="0"/>
        <w:jc w:val="center"/>
        <w:rPr>
          <w:rFonts w:hint="default" w:cs="Times New Roman"/>
          <w:b/>
          <w:color w:val="auto"/>
          <w:sz w:val="32"/>
          <w:szCs w:val="32"/>
          <w:lang w:val="en-US" w:eastAsia="zh-CN"/>
        </w:rPr>
      </w:pPr>
      <w:r>
        <w:rPr>
          <w:rFonts w:hint="eastAsia" w:cs="Times New Roman"/>
          <w:b/>
          <w:color w:val="auto"/>
          <w:sz w:val="32"/>
          <w:szCs w:val="32"/>
          <w:lang w:val="en-US" w:eastAsia="zh-CN"/>
        </w:rPr>
        <w:t>茌平鸿博铝塑制品有限公司年产200吨纸板及180万平方米纸箱项目（一期）</w:t>
      </w:r>
      <w:r>
        <w:rPr>
          <w:rFonts w:hint="default" w:cs="Times New Roman"/>
          <w:b/>
          <w:color w:val="auto"/>
          <w:sz w:val="32"/>
          <w:szCs w:val="32"/>
          <w:lang w:val="en-US" w:eastAsia="zh-CN"/>
        </w:rPr>
        <w:t>竣工环境保护验收现场检查及验收工作组验收意见</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highlight w:val="none"/>
        </w:rPr>
        <w:t>20</w:t>
      </w:r>
      <w:r>
        <w:rPr>
          <w:rFonts w:hint="eastAsia" w:cs="Times New Roman"/>
          <w:color w:val="auto"/>
          <w:sz w:val="24"/>
          <w:szCs w:val="24"/>
          <w:highlight w:val="none"/>
          <w:lang w:val="en-US" w:eastAsia="zh-CN"/>
        </w:rPr>
        <w:t>20</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茌平鸿博铝塑制品有限公司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年产200吨纸板及180万平方米纸箱项目（一期）</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茌平鸿博铝塑制品有限公司</w:t>
      </w:r>
      <w:r>
        <w:rPr>
          <w:rFonts w:hint="default" w:ascii="Times New Roman" w:hAnsi="Times New Roman" w:eastAsia="宋体" w:cs="Times New Roman"/>
          <w:color w:val="auto"/>
          <w:sz w:val="24"/>
          <w:szCs w:val="24"/>
        </w:rPr>
        <w:t>）、监测单位（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茌平鸿博铝塑制品有限公司</w:t>
      </w:r>
      <w:r>
        <w:rPr>
          <w:rFonts w:hint="default" w:ascii="Times New Roman" w:hAnsi="Times New Roman" w:eastAsia="宋体" w:cs="Times New Roman"/>
          <w:color w:val="auto"/>
          <w:sz w:val="24"/>
          <w:szCs w:val="24"/>
        </w:rPr>
        <w:t>位于</w:t>
      </w:r>
      <w:r>
        <w:rPr>
          <w:rFonts w:hint="default" w:ascii="Times New Roman" w:hAnsi="Times New Roman" w:eastAsia="宋体" w:cs="Times New Roman"/>
          <w:color w:val="auto"/>
          <w:sz w:val="24"/>
          <w:szCs w:val="24"/>
          <w:lang w:eastAsia="zh-CN"/>
        </w:rPr>
        <w:t>茌平县信发街道铝城路路北862号</w:t>
      </w:r>
      <w:r>
        <w:rPr>
          <w:rFonts w:hint="default" w:ascii="Times New Roman" w:hAnsi="Times New Roman" w:eastAsia="宋体" w:cs="Times New Roman"/>
          <w:color w:val="auto"/>
          <w:sz w:val="24"/>
          <w:szCs w:val="24"/>
        </w:rPr>
        <w:t>。项目</w:t>
      </w:r>
      <w:r>
        <w:rPr>
          <w:rFonts w:hint="default" w:ascii="Times New Roman" w:hAnsi="Times New Roman" w:eastAsia="宋体" w:cs="Times New Roman"/>
          <w:color w:val="auto"/>
          <w:sz w:val="24"/>
          <w:szCs w:val="24"/>
          <w:lang w:eastAsia="zh-CN"/>
        </w:rPr>
        <w:t>预计</w:t>
      </w:r>
      <w:r>
        <w:rPr>
          <w:rFonts w:hint="default" w:ascii="Times New Roman" w:hAnsi="Times New Roman" w:eastAsia="宋体" w:cs="Times New Roman"/>
          <w:color w:val="auto"/>
          <w:sz w:val="24"/>
          <w:szCs w:val="24"/>
        </w:rPr>
        <w:t>总投资</w:t>
      </w:r>
      <w:r>
        <w:rPr>
          <w:rFonts w:hint="default" w:ascii="Times New Roman" w:hAnsi="Times New Roman" w:eastAsia="宋体" w:cs="Times New Roman"/>
          <w:color w:val="auto"/>
          <w:sz w:val="24"/>
          <w:szCs w:val="24"/>
          <w:lang w:val="en-US" w:eastAsia="zh-CN"/>
        </w:rPr>
        <w:t>70</w:t>
      </w:r>
      <w:r>
        <w:rPr>
          <w:rFonts w:hint="default" w:ascii="Times New Roman" w:hAnsi="Times New Roman" w:eastAsia="宋体" w:cs="Times New Roman"/>
          <w:color w:val="auto"/>
          <w:sz w:val="24"/>
          <w:szCs w:val="24"/>
          <w:lang w:eastAsia="zh-CN"/>
        </w:rPr>
        <w:t>万元</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eastAsia="zh-CN"/>
        </w:rPr>
        <w:t>占地面积</w:t>
      </w:r>
      <w:r>
        <w:rPr>
          <w:rFonts w:hint="default" w:ascii="Times New Roman" w:hAnsi="Times New Roman" w:eastAsia="宋体" w:cs="Times New Roman"/>
          <w:color w:val="auto"/>
          <w:sz w:val="24"/>
          <w:szCs w:val="24"/>
          <w:lang w:val="en-US" w:eastAsia="zh-CN"/>
        </w:rPr>
        <w:t>1600</w:t>
      </w:r>
      <w:r>
        <w:rPr>
          <w:rFonts w:hint="default" w:ascii="Times New Roman" w:hAnsi="Times New Roman" w:eastAsia="宋体" w:cs="Times New Roman"/>
          <w:color w:val="auto"/>
          <w:sz w:val="24"/>
          <w:szCs w:val="24"/>
          <w:lang w:eastAsia="zh-CN"/>
        </w:rPr>
        <w:t>m</w:t>
      </w:r>
      <w:r>
        <w:rPr>
          <w:rFonts w:hint="default" w:ascii="Times New Roman" w:hAnsi="Times New Roman" w:eastAsia="宋体" w:cs="Times New Roman"/>
          <w:color w:val="auto"/>
          <w:sz w:val="24"/>
          <w:szCs w:val="24"/>
          <w:vertAlign w:val="superscript"/>
          <w:lang w:eastAsia="zh-CN"/>
        </w:rPr>
        <w:t>2</w:t>
      </w:r>
      <w:r>
        <w:rPr>
          <w:rFonts w:hint="default" w:ascii="Times New Roman" w:hAnsi="Times New Roman" w:eastAsia="宋体" w:cs="Times New Roman"/>
          <w:color w:val="auto"/>
          <w:sz w:val="24"/>
          <w:szCs w:val="24"/>
          <w:lang w:eastAsia="zh-CN"/>
        </w:rPr>
        <w:t>，租赁现有厂房建设年产200吨纸板及180万平方米纸箱项目。由于企业资金问题，项目投资</w:t>
      </w:r>
      <w:r>
        <w:rPr>
          <w:rFonts w:hint="default" w:ascii="Times New Roman" w:hAnsi="Times New Roman" w:eastAsia="宋体" w:cs="Times New Roman"/>
          <w:color w:val="auto"/>
          <w:sz w:val="24"/>
          <w:szCs w:val="24"/>
          <w:lang w:val="en-US" w:eastAsia="zh-CN"/>
        </w:rPr>
        <w:t>50万元，</w:t>
      </w:r>
      <w:r>
        <w:rPr>
          <w:rFonts w:hint="default" w:ascii="Times New Roman" w:hAnsi="Times New Roman" w:eastAsia="宋体" w:cs="Times New Roman"/>
          <w:color w:val="auto"/>
          <w:sz w:val="24"/>
          <w:szCs w:val="24"/>
          <w:lang w:eastAsia="zh-CN"/>
        </w:rPr>
        <w:t>现生产规模仅为年产180万平方米纸箱，项目分期验收，本次验收为一期</w:t>
      </w:r>
      <w:r>
        <w:rPr>
          <w:rFonts w:hint="default" w:ascii="Times New Roman" w:hAnsi="Times New Roman" w:eastAsia="宋体" w:cs="Times New Roman"/>
          <w:color w:val="auto"/>
          <w:sz w:val="24"/>
          <w:szCs w:val="24"/>
          <w:lang w:eastAsia="zh-CN"/>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次验收为新建项目。2019年2月茌平鸿博铝塑制品有限公司委托山东人和环保科技有限公司编制了《茌平鸿博铝塑制品有限公司年产200吨纸板及180万平方米纸箱项目环境影响报告表》，2019年2月13日茌平县环境保护局以茌环管[2019]19号对其进行了审批。2020年3月公司委托山东聊和环保科技有限公司进行本项目的环保验收监测工作，接受委托后山东聊和环保科技有限公司组织有关技术人员进行现场踏勘，依据监测技术规范制定了环保验收监测方案，并于2020年04月02日-03日对该企业进行了验收监测，根据验收监测结果和现场检查情况编制了本项目验收监测报告。</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eastAsia" w:cs="Times New Roman"/>
          <w:color w:val="auto"/>
          <w:sz w:val="24"/>
          <w:szCs w:val="24"/>
          <w:lang w:eastAsia="zh-CN"/>
        </w:rPr>
        <w:t>一期</w:t>
      </w:r>
      <w:r>
        <w:rPr>
          <w:rFonts w:hint="default" w:ascii="Times New Roman" w:hAnsi="Times New Roman" w:eastAsia="宋体" w:cs="Times New Roman"/>
          <w:color w:val="auto"/>
          <w:sz w:val="24"/>
          <w:szCs w:val="24"/>
        </w:rPr>
        <w:t>实际总投资</w:t>
      </w:r>
      <w:r>
        <w:rPr>
          <w:rFonts w:hint="eastAsia" w:cs="Times New Roman"/>
          <w:color w:val="auto"/>
          <w:sz w:val="24"/>
          <w:szCs w:val="24"/>
          <w:lang w:val="en-US" w:eastAsia="zh-CN"/>
        </w:rPr>
        <w:t>50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6</w:t>
      </w:r>
      <w:r>
        <w:rPr>
          <w:rFonts w:hint="default" w:ascii="Times New Roman" w:hAnsi="Times New Roman" w:eastAsia="宋体" w:cs="Times New Roman"/>
          <w:color w:val="auto"/>
          <w:sz w:val="24"/>
          <w:szCs w:val="24"/>
        </w:rPr>
        <w:t>万元。占总投资</w:t>
      </w:r>
      <w:r>
        <w:rPr>
          <w:rFonts w:hint="eastAsia" w:cs="Times New Roman"/>
          <w:color w:val="auto"/>
          <w:sz w:val="24"/>
          <w:szCs w:val="24"/>
          <w:lang w:val="en-US" w:eastAsia="zh-CN"/>
        </w:rPr>
        <w:t>12</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val="en-US" w:eastAsia="zh-CN"/>
        </w:rPr>
        <w:t>年产180万平方米纸箱</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通过现场调查，对照环评报告及审批意见，生产性质、生产规模、生产地点、生产工艺及环保设施均无明显变动，故本项目工程无重大变动。</w:t>
      </w:r>
    </w:p>
    <w:p>
      <w:pPr>
        <w:pStyle w:val="9"/>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pStyle w:val="9"/>
        <w:spacing w:beforeLines="50"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本项目无生产废水；职工生活污水经化粪池预处理后，由环卫部门统一清运，不外排。</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本项目印刷过程产生废气，主要污染物为VOCs。在印刷机上部设置集气罩，经收集的有机废气通过UV光氧+活性炭吸附装置处理后由15m高排气筒排放；未被收集的废气经车间通风后无组织排放。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本项目主要噪声源是模切机等设备。通过基础减振、距离衰减等综合控制等措施，降低对外环境的影响。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9"/>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本项目固体废物包括废淀粉包装桶、油墨包装桶、废抹布、废UV灯管、废活性炭、废橡胶版、模切下脚料、不合格品和职工生活垃圾。</w:t>
      </w:r>
    </w:p>
    <w:p>
      <w:pPr>
        <w:pStyle w:val="9"/>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（1）一般固体废物</w:t>
      </w:r>
    </w:p>
    <w:p>
      <w:pPr>
        <w:pStyle w:val="9"/>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废橡胶版平均每3年一次更换，产生量为0.001t/a；废淀粉胶包装桶产生量为0.12t/a，交由厂家回收利用。模切下脚料约为总量的2%，年加工纸板600t，则下脚料产生量约12t/a；不合格品产生量约为产品总量的1%，约6t/a，经收集后外售处置。职工生活垃圾产生量约2.88t/a；废抹布产生量约0.023t/a，通过对照《国家危险废物名录》，废抹布属于危险废物豁免管理清单，混入生活垃圾，委托环卫部门清运处理。废水性油墨包装桶根据《国家危险废物名录》和《关于用于原始用途的含有或直接沾染危险废物的包装物、容器是否属于危险废物问题的复函》（环函[2014]126号），油墨包装桶不属于危险废物，但应按照危险废物的有关规定和要求对其贮存、运输等环节进行环境监管。本项目废水性油墨包装桶交由厂家回收利用。</w:t>
      </w:r>
      <w:bookmarkStart w:id="0" w:name="_GoBack"/>
      <w:bookmarkEnd w:id="0"/>
    </w:p>
    <w:p>
      <w:pPr>
        <w:pStyle w:val="9"/>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（2）危险废物</w:t>
      </w:r>
    </w:p>
    <w:p>
      <w:pPr>
        <w:pStyle w:val="9"/>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废UV灯管约半年更换一次，约0.01t/a，属于危废，危废代码900-023-29，委托有相应危废资质的单位聊城市汇巨环保科技有限公司进行处置。</w:t>
      </w:r>
    </w:p>
    <w:p>
      <w:pPr>
        <w:pStyle w:val="9"/>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废活性炭产生量约2.58t/a。废活性炭属于危险废物，废物类别是HW49非特定行业，废物代码是900-041-49含有或沾染毒性、感染性危险废物的废弃包装物、容器、过滤吸附介质，委托有相应危废资质的单位聊城市汇巨环保科技有限公司进行处置。</w:t>
      </w:r>
    </w:p>
    <w:p>
      <w:pPr>
        <w:pStyle w:val="9"/>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茌平鸿博铝塑制品有限公司年产200吨纸板及180万平方米纸箱项目（一期）</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color w:val="auto"/>
          <w:sz w:val="24"/>
          <w:szCs w:val="24"/>
          <w:lang w:val="en-US" w:eastAsia="zh-CN"/>
        </w:rPr>
        <w:t>本项目无生产废水；职工生活污水经化粪池预处理后，由环卫部门统一清运，不外排。</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废气</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szCs w:val="24"/>
        </w:rPr>
        <w:t>验</w:t>
      </w:r>
      <w:r>
        <w:rPr>
          <w:rFonts w:hint="default" w:ascii="Times New Roman" w:hAnsi="Times New Roman" w:eastAsia="宋体" w:cs="Times New Roman"/>
          <w:bCs/>
          <w:color w:val="auto"/>
          <w:sz w:val="24"/>
          <w:szCs w:val="24"/>
        </w:rPr>
        <w:t>收监测期间，有组织</w:t>
      </w:r>
      <w:r>
        <w:rPr>
          <w:rFonts w:hint="default" w:ascii="Times New Roman" w:hAnsi="Times New Roman" w:eastAsia="宋体" w:cs="Times New Roman"/>
          <w:bCs/>
          <w:color w:val="auto"/>
          <w:sz w:val="24"/>
          <w:szCs w:val="24"/>
          <w:lang w:eastAsia="zh-CN"/>
        </w:rPr>
        <w:t>苯</w:t>
      </w:r>
      <w:r>
        <w:rPr>
          <w:rFonts w:hint="default" w:ascii="Times New Roman" w:hAnsi="Times New Roman" w:eastAsia="宋体" w:cs="Times New Roman"/>
          <w:bCs/>
          <w:color w:val="auto"/>
          <w:sz w:val="24"/>
          <w:szCs w:val="24"/>
        </w:rPr>
        <w:t>最高排放浓度</w:t>
      </w:r>
      <w:r>
        <w:rPr>
          <w:rFonts w:hint="default" w:ascii="Times New Roman" w:hAnsi="Times New Roman" w:eastAsia="宋体" w:cs="Times New Roman"/>
          <w:bCs/>
          <w:color w:val="auto"/>
          <w:sz w:val="24"/>
          <w:szCs w:val="24"/>
          <w:lang w:eastAsia="zh-CN"/>
        </w:rPr>
        <w:t>为</w:t>
      </w:r>
      <w:r>
        <w:rPr>
          <w:rFonts w:hint="default" w:ascii="Times New Roman" w:hAnsi="Times New Roman" w:eastAsia="宋体" w:cs="Times New Roman"/>
          <w:bCs/>
          <w:color w:val="auto"/>
          <w:sz w:val="24"/>
          <w:szCs w:val="24"/>
          <w:lang w:val="en-US" w:eastAsia="zh-CN"/>
        </w:rPr>
        <w:t>0.0</w:t>
      </w:r>
      <w:r>
        <w:rPr>
          <w:rFonts w:hint="default" w:ascii="Times New Roman" w:hAnsi="Times New Roman" w:cs="Times New Roman"/>
          <w:bCs/>
          <w:color w:val="auto"/>
          <w:sz w:val="24"/>
          <w:szCs w:val="24"/>
          <w:lang w:val="en-US" w:eastAsia="zh-CN"/>
        </w:rPr>
        <w:t>85</w:t>
      </w:r>
      <w:r>
        <w:rPr>
          <w:rFonts w:hint="default" w:ascii="Times New Roman" w:hAnsi="Times New Roman" w:eastAsia="宋体" w:cs="Times New Roman"/>
          <w:bCs/>
          <w:color w:val="auto"/>
          <w:sz w:val="24"/>
          <w:szCs w:val="24"/>
        </w:rPr>
        <w:t>mg/m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，排放速率最高为</w:t>
      </w:r>
      <w:r>
        <w:rPr>
          <w:rFonts w:hint="default" w:ascii="Times New Roman" w:hAnsi="Times New Roman" w:cs="Times New Roman"/>
          <w:b w:val="0"/>
          <w:bCs w:val="0"/>
          <w:color w:val="auto"/>
          <w:sz w:val="24"/>
          <w:szCs w:val="24"/>
          <w:vertAlign w:val="baseline"/>
          <w:lang w:val="en-US" w:eastAsia="zh-CN"/>
        </w:rPr>
        <w:t>2.1</w:t>
      </w:r>
      <w:r>
        <w:rPr>
          <w:rFonts w:hint="default" w:ascii="Times New Roman" w:hAnsi="Times New Roman" w:eastAsia="宋体" w:cs="Times New Roman"/>
          <w:color w:val="auto"/>
          <w:sz w:val="24"/>
          <w:szCs w:val="24"/>
          <w:lang w:val="en-US" w:eastAsia="zh-CN"/>
        </w:rPr>
        <w:t>×10</w:t>
      </w:r>
      <w:r>
        <w:rPr>
          <w:rFonts w:hint="default" w:ascii="Times New Roman" w:hAnsi="Times New Roman" w:eastAsia="宋体" w:cs="Times New Roman"/>
          <w:color w:val="auto"/>
          <w:sz w:val="24"/>
          <w:szCs w:val="24"/>
          <w:vertAlign w:val="superscript"/>
          <w:lang w:val="en-US" w:eastAsia="zh-CN"/>
        </w:rPr>
        <w:t>-4</w:t>
      </w:r>
      <w:r>
        <w:rPr>
          <w:rFonts w:hint="default" w:ascii="Times New Roman" w:hAnsi="Times New Roman" w:eastAsia="宋体" w:cs="Times New Roman"/>
          <w:bCs/>
          <w:color w:val="auto"/>
          <w:sz w:val="24"/>
          <w:szCs w:val="24"/>
        </w:rPr>
        <w:t>kg/h；</w:t>
      </w:r>
      <w:r>
        <w:rPr>
          <w:rFonts w:hint="default" w:ascii="Times New Roman" w:hAnsi="Times New Roman" w:eastAsia="宋体" w:cs="Times New Roman"/>
          <w:bCs/>
          <w:color w:val="auto"/>
          <w:sz w:val="24"/>
          <w:szCs w:val="24"/>
          <w:lang w:eastAsia="zh-CN"/>
        </w:rPr>
        <w:t>甲苯</w:t>
      </w:r>
      <w:r>
        <w:rPr>
          <w:rFonts w:hint="default" w:ascii="Times New Roman" w:hAnsi="Times New Roman" w:eastAsia="宋体" w:cs="Times New Roman"/>
          <w:bCs/>
          <w:color w:val="auto"/>
          <w:sz w:val="24"/>
          <w:szCs w:val="24"/>
        </w:rPr>
        <w:t>最高排放浓度</w:t>
      </w:r>
      <w:r>
        <w:rPr>
          <w:rFonts w:hint="default" w:ascii="Times New Roman" w:hAnsi="Times New Roman" w:eastAsia="宋体" w:cs="Times New Roman"/>
          <w:bCs/>
          <w:color w:val="auto"/>
          <w:sz w:val="24"/>
          <w:szCs w:val="24"/>
          <w:lang w:eastAsia="zh-CN"/>
        </w:rPr>
        <w:t>为</w:t>
      </w:r>
      <w:r>
        <w:rPr>
          <w:rFonts w:hint="default" w:ascii="Times New Roman" w:hAnsi="Times New Roman" w:cs="Times New Roman"/>
          <w:bCs/>
          <w:color w:val="auto"/>
          <w:sz w:val="24"/>
          <w:szCs w:val="24"/>
          <w:lang w:val="en-US" w:eastAsia="zh-CN"/>
        </w:rPr>
        <w:t>0.344</w:t>
      </w:r>
      <w:r>
        <w:rPr>
          <w:rFonts w:hint="default" w:ascii="Times New Roman" w:hAnsi="Times New Roman" w:eastAsia="宋体" w:cs="Times New Roman"/>
          <w:bCs/>
          <w:color w:val="auto"/>
          <w:sz w:val="24"/>
          <w:szCs w:val="24"/>
        </w:rPr>
        <w:t>mg/m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，排放速率最高为</w:t>
      </w:r>
      <w:r>
        <w:rPr>
          <w:rFonts w:hint="default" w:ascii="Times New Roman" w:hAnsi="Times New Roman" w:cs="Times New Roman"/>
          <w:b w:val="0"/>
          <w:bCs w:val="0"/>
          <w:color w:val="auto"/>
          <w:sz w:val="24"/>
          <w:szCs w:val="24"/>
          <w:vertAlign w:val="baseline"/>
          <w:lang w:val="en-US" w:eastAsia="zh-CN"/>
        </w:rPr>
        <w:t>8.40</w:t>
      </w:r>
      <w:r>
        <w:rPr>
          <w:rFonts w:hint="default" w:ascii="Times New Roman" w:hAnsi="Times New Roman" w:eastAsia="宋体" w:cs="Times New Roman"/>
          <w:color w:val="auto"/>
          <w:sz w:val="24"/>
          <w:szCs w:val="24"/>
          <w:lang w:val="en-US" w:eastAsia="zh-CN"/>
        </w:rPr>
        <w:t>×10</w:t>
      </w:r>
      <w:r>
        <w:rPr>
          <w:rFonts w:hint="default" w:ascii="Times New Roman" w:hAnsi="Times New Roman" w:eastAsia="宋体" w:cs="Times New Roman"/>
          <w:color w:val="auto"/>
          <w:sz w:val="24"/>
          <w:szCs w:val="24"/>
          <w:vertAlign w:val="superscript"/>
          <w:lang w:val="en-US" w:eastAsia="zh-CN"/>
        </w:rPr>
        <w:t>-</w:t>
      </w:r>
      <w:r>
        <w:rPr>
          <w:rFonts w:hint="default" w:ascii="Times New Roman" w:hAnsi="Times New Roman" w:cs="Times New Roman"/>
          <w:color w:val="auto"/>
          <w:sz w:val="24"/>
          <w:szCs w:val="24"/>
          <w:vertAlign w:val="superscript"/>
          <w:lang w:val="en-US" w:eastAsia="zh-CN"/>
        </w:rPr>
        <w:t>4</w:t>
      </w:r>
      <w:r>
        <w:rPr>
          <w:rFonts w:hint="default" w:ascii="Times New Roman" w:hAnsi="Times New Roman" w:eastAsia="宋体" w:cs="Times New Roman"/>
          <w:bCs/>
          <w:color w:val="auto"/>
          <w:sz w:val="24"/>
          <w:szCs w:val="24"/>
        </w:rPr>
        <w:t>kg/h</w:t>
      </w:r>
      <w:r>
        <w:rPr>
          <w:rFonts w:hint="default" w:ascii="Times New Roman" w:hAnsi="Times New Roman" w:eastAsia="宋体" w:cs="Times New Roman"/>
          <w:bCs/>
          <w:color w:val="auto"/>
          <w:sz w:val="24"/>
          <w:szCs w:val="24"/>
          <w:lang w:eastAsia="zh-CN"/>
        </w:rPr>
        <w:t>；二甲苯</w:t>
      </w:r>
      <w:r>
        <w:rPr>
          <w:rFonts w:hint="default" w:ascii="Times New Roman" w:hAnsi="Times New Roman" w:eastAsia="宋体" w:cs="Times New Roman"/>
          <w:bCs/>
          <w:color w:val="auto"/>
          <w:sz w:val="24"/>
          <w:szCs w:val="24"/>
        </w:rPr>
        <w:t>最高排放浓度</w:t>
      </w:r>
      <w:r>
        <w:rPr>
          <w:rFonts w:hint="default" w:ascii="Times New Roman" w:hAnsi="Times New Roman" w:eastAsia="宋体" w:cs="Times New Roman"/>
          <w:bCs/>
          <w:color w:val="auto"/>
          <w:sz w:val="24"/>
          <w:szCs w:val="24"/>
          <w:lang w:eastAsia="zh-CN"/>
        </w:rPr>
        <w:t>为</w:t>
      </w:r>
      <w:r>
        <w:rPr>
          <w:rFonts w:hint="default" w:ascii="Times New Roman" w:hAnsi="Times New Roman" w:cs="Times New Roman"/>
          <w:bCs/>
          <w:color w:val="auto"/>
          <w:sz w:val="24"/>
          <w:szCs w:val="24"/>
          <w:lang w:val="en-US" w:eastAsia="zh-CN"/>
        </w:rPr>
        <w:t>0.062</w:t>
      </w:r>
      <w:r>
        <w:rPr>
          <w:rFonts w:hint="default" w:ascii="Times New Roman" w:hAnsi="Times New Roman" w:eastAsia="宋体" w:cs="Times New Roman"/>
          <w:bCs/>
          <w:color w:val="auto"/>
          <w:sz w:val="24"/>
          <w:szCs w:val="24"/>
        </w:rPr>
        <w:t>mg/m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，排放速率最高为</w:t>
      </w:r>
      <w:r>
        <w:rPr>
          <w:rFonts w:hint="default" w:ascii="Times New Roman" w:hAnsi="Times New Roman" w:cs="Times New Roman"/>
          <w:b w:val="0"/>
          <w:bCs w:val="0"/>
          <w:color w:val="auto"/>
          <w:sz w:val="24"/>
          <w:szCs w:val="24"/>
          <w:vertAlign w:val="baseline"/>
          <w:lang w:val="en-US" w:eastAsia="zh-CN"/>
        </w:rPr>
        <w:t>1.6</w:t>
      </w:r>
      <w:r>
        <w:rPr>
          <w:rFonts w:hint="default" w:ascii="Times New Roman" w:hAnsi="Times New Roman" w:eastAsia="宋体" w:cs="Times New Roman"/>
          <w:color w:val="auto"/>
          <w:sz w:val="24"/>
          <w:szCs w:val="24"/>
          <w:lang w:val="en-US" w:eastAsia="zh-CN"/>
        </w:rPr>
        <w:t>×10</w:t>
      </w:r>
      <w:r>
        <w:rPr>
          <w:rFonts w:hint="default" w:ascii="Times New Roman" w:hAnsi="Times New Roman" w:eastAsia="宋体" w:cs="Times New Roman"/>
          <w:color w:val="auto"/>
          <w:sz w:val="24"/>
          <w:szCs w:val="24"/>
          <w:vertAlign w:val="superscript"/>
          <w:lang w:val="en-US" w:eastAsia="zh-CN"/>
        </w:rPr>
        <w:t>-</w:t>
      </w:r>
      <w:r>
        <w:rPr>
          <w:rFonts w:hint="default" w:ascii="Times New Roman" w:hAnsi="Times New Roman" w:cs="Times New Roman"/>
          <w:color w:val="auto"/>
          <w:sz w:val="24"/>
          <w:szCs w:val="24"/>
          <w:vertAlign w:val="superscript"/>
          <w:lang w:val="en-US" w:eastAsia="zh-CN"/>
        </w:rPr>
        <w:t>4</w:t>
      </w:r>
      <w:r>
        <w:rPr>
          <w:rFonts w:hint="default" w:ascii="Times New Roman" w:hAnsi="Times New Roman" w:eastAsia="宋体" w:cs="Times New Roman"/>
          <w:bCs/>
          <w:color w:val="auto"/>
          <w:sz w:val="24"/>
          <w:szCs w:val="24"/>
        </w:rPr>
        <w:t>kg/h</w:t>
      </w:r>
      <w:r>
        <w:rPr>
          <w:rFonts w:hint="default" w:ascii="Times New Roman" w:hAnsi="Times New Roman" w:eastAsia="宋体" w:cs="Times New Roman"/>
          <w:bCs/>
          <w:color w:val="auto"/>
          <w:sz w:val="24"/>
          <w:szCs w:val="24"/>
          <w:lang w:eastAsia="zh-CN"/>
        </w:rPr>
        <w:t>；</w:t>
      </w:r>
      <w:r>
        <w:rPr>
          <w:rFonts w:hint="default" w:ascii="Times New Roman" w:hAnsi="Times New Roman" w:eastAsia="宋体" w:cs="Times New Roman"/>
          <w:bCs/>
          <w:color w:val="auto"/>
          <w:sz w:val="24"/>
          <w:szCs w:val="24"/>
          <w:lang w:val="en-US" w:eastAsia="zh-CN"/>
        </w:rPr>
        <w:t>VOCs</w:t>
      </w:r>
      <w:r>
        <w:rPr>
          <w:rFonts w:hint="default" w:ascii="Times New Roman" w:hAnsi="Times New Roman" w:eastAsia="宋体" w:cs="Times New Roman"/>
          <w:bCs/>
          <w:color w:val="auto"/>
          <w:sz w:val="24"/>
          <w:szCs w:val="24"/>
        </w:rPr>
        <w:t>最高排放浓度</w:t>
      </w:r>
      <w:r>
        <w:rPr>
          <w:rFonts w:hint="default" w:ascii="Times New Roman" w:hAnsi="Times New Roman" w:eastAsia="宋体" w:cs="Times New Roman"/>
          <w:bCs/>
          <w:color w:val="auto"/>
          <w:sz w:val="24"/>
          <w:szCs w:val="24"/>
          <w:lang w:eastAsia="zh-CN"/>
        </w:rPr>
        <w:t>为</w:t>
      </w:r>
      <w:r>
        <w:rPr>
          <w:rFonts w:hint="default" w:ascii="Times New Roman" w:hAnsi="Times New Roman" w:cs="Times New Roman"/>
          <w:bCs/>
          <w:color w:val="auto"/>
          <w:sz w:val="24"/>
          <w:szCs w:val="24"/>
          <w:lang w:val="en-US" w:eastAsia="zh-CN"/>
        </w:rPr>
        <w:t>13.4</w:t>
      </w:r>
      <w:r>
        <w:rPr>
          <w:rFonts w:hint="default" w:ascii="Times New Roman" w:hAnsi="Times New Roman" w:eastAsia="宋体" w:cs="Times New Roman"/>
          <w:bCs/>
          <w:color w:val="auto"/>
          <w:sz w:val="24"/>
          <w:szCs w:val="24"/>
        </w:rPr>
        <w:t>mg/m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，排放速率最高为</w:t>
      </w:r>
      <w:r>
        <w:rPr>
          <w:rFonts w:hint="default" w:ascii="Times New Roman" w:hAnsi="Times New Roman" w:cs="Times New Roman"/>
          <w:b w:val="0"/>
          <w:bCs w:val="0"/>
          <w:color w:val="auto"/>
          <w:sz w:val="24"/>
          <w:szCs w:val="24"/>
          <w:vertAlign w:val="baseline"/>
          <w:lang w:val="en-US" w:eastAsia="zh-CN"/>
        </w:rPr>
        <w:t>0.0335</w:t>
      </w:r>
      <w:r>
        <w:rPr>
          <w:rFonts w:hint="default" w:ascii="Times New Roman" w:hAnsi="Times New Roman" w:eastAsia="宋体" w:cs="Times New Roman"/>
          <w:bCs/>
          <w:color w:val="auto"/>
          <w:sz w:val="24"/>
          <w:szCs w:val="24"/>
        </w:rPr>
        <w:t>kg/h</w:t>
      </w:r>
      <w:r>
        <w:rPr>
          <w:rFonts w:hint="default" w:ascii="Times New Roman" w:hAnsi="Times New Roman" w:eastAsia="宋体" w:cs="Times New Roman"/>
          <w:bCs/>
          <w:color w:val="auto"/>
          <w:sz w:val="24"/>
          <w:szCs w:val="24"/>
          <w:lang w:eastAsia="zh-CN"/>
        </w:rPr>
        <w:t>，均满足</w:t>
      </w:r>
      <w:r>
        <w:rPr>
          <w:rFonts w:hint="default" w:ascii="Times New Roman" w:hAnsi="Times New Roman" w:cs="Times New Roman"/>
          <w:color w:val="auto"/>
          <w:sz w:val="24"/>
          <w:szCs w:val="24"/>
          <w:lang w:eastAsia="zh-CN"/>
        </w:rPr>
        <w:t>《挥发性有机物排放标准 第4部分：印刷业》</w:t>
      </w:r>
      <w:r>
        <w:rPr>
          <w:rFonts w:hint="default" w:ascii="Times New Roman" w:hAnsi="Times New Roman" w:eastAsia="宋体" w:cs="Times New Roman"/>
          <w:color w:val="auto"/>
          <w:sz w:val="24"/>
          <w:szCs w:val="24"/>
          <w:lang w:eastAsia="zh-CN"/>
        </w:rPr>
        <w:t>表</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eastAsia="zh-CN"/>
        </w:rPr>
        <w:t>标准要求。</w:t>
      </w:r>
      <w:r>
        <w:rPr>
          <w:rFonts w:hint="default" w:ascii="Times New Roman" w:hAnsi="Times New Roman" w:eastAsia="宋体" w:cs="Times New Roman"/>
          <w:sz w:val="24"/>
          <w:szCs w:val="24"/>
          <w:lang w:eastAsia="zh-CN"/>
        </w:rPr>
        <w:t>无组织苯</w:t>
      </w:r>
      <w:r>
        <w:rPr>
          <w:rFonts w:hint="default" w:ascii="Times New Roman" w:hAnsi="Times New Roman" w:eastAsia="宋体" w:cs="Times New Roman"/>
          <w:bCs/>
          <w:color w:val="000000"/>
          <w:sz w:val="24"/>
          <w:szCs w:val="24"/>
        </w:rPr>
        <w:t>小时浓度最高</w:t>
      </w:r>
      <w:r>
        <w:rPr>
          <w:rFonts w:hint="default" w:ascii="Times New Roman" w:hAnsi="Times New Roman" w:eastAsia="宋体" w:cs="Times New Roman"/>
          <w:bCs/>
          <w:color w:val="000000"/>
          <w:sz w:val="24"/>
          <w:szCs w:val="24"/>
          <w:lang w:eastAsia="zh-CN"/>
        </w:rPr>
        <w:t>为</w:t>
      </w:r>
      <w:r>
        <w:rPr>
          <w:rFonts w:hint="default" w:ascii="Times New Roman" w:hAnsi="Times New Roman" w:cs="Times New Roman"/>
          <w:bCs/>
          <w:color w:val="000000"/>
          <w:sz w:val="24"/>
          <w:szCs w:val="24"/>
          <w:lang w:val="en-US" w:eastAsia="zh-CN"/>
        </w:rPr>
        <w:t>5.2</w:t>
      </w:r>
      <w:r>
        <w:rPr>
          <w:rFonts w:hint="default" w:ascii="Times New Roman" w:hAnsi="Times New Roman" w:eastAsia="宋体" w:cs="Times New Roman"/>
          <w:bCs/>
          <w:color w:val="000000"/>
          <w:sz w:val="24"/>
          <w:szCs w:val="24"/>
          <w:lang w:val="en-US" w:eastAsia="zh-CN"/>
        </w:rPr>
        <w:t>μ</w:t>
      </w:r>
      <w:r>
        <w:rPr>
          <w:rFonts w:hint="default" w:ascii="Times New Roman" w:hAnsi="Times New Roman" w:eastAsia="宋体" w:cs="Times New Roman"/>
          <w:bCs/>
          <w:color w:val="000000"/>
          <w:sz w:val="24"/>
          <w:szCs w:val="24"/>
        </w:rPr>
        <w:t>g/m</w:t>
      </w:r>
      <w:r>
        <w:rPr>
          <w:rFonts w:hint="default" w:ascii="Times New Roman" w:hAnsi="Times New Roman" w:eastAsia="宋体" w:cs="Times New Roman"/>
          <w:bCs/>
          <w:color w:val="000000"/>
          <w:sz w:val="24"/>
          <w:szCs w:val="24"/>
          <w:vertAlign w:val="superscript"/>
        </w:rPr>
        <w:t>3</w:t>
      </w:r>
      <w:r>
        <w:rPr>
          <w:rFonts w:hint="default" w:ascii="Times New Roman" w:hAnsi="Times New Roman" w:eastAsia="宋体" w:cs="Times New Roman"/>
          <w:bCs/>
          <w:color w:val="000000"/>
          <w:sz w:val="24"/>
          <w:szCs w:val="24"/>
        </w:rPr>
        <w:t>，</w:t>
      </w:r>
      <w:r>
        <w:rPr>
          <w:rFonts w:hint="default" w:ascii="Times New Roman" w:hAnsi="Times New Roman" w:eastAsia="宋体" w:cs="Times New Roman"/>
          <w:sz w:val="24"/>
          <w:szCs w:val="24"/>
          <w:lang w:eastAsia="zh-CN"/>
        </w:rPr>
        <w:t>甲苯</w:t>
      </w:r>
      <w:r>
        <w:rPr>
          <w:rFonts w:hint="default" w:ascii="Times New Roman" w:hAnsi="Times New Roman" w:eastAsia="宋体" w:cs="Times New Roman"/>
          <w:bCs/>
          <w:color w:val="000000"/>
          <w:sz w:val="24"/>
          <w:szCs w:val="24"/>
        </w:rPr>
        <w:t>小时浓度最高</w:t>
      </w:r>
      <w:r>
        <w:rPr>
          <w:rFonts w:hint="default" w:ascii="Times New Roman" w:hAnsi="Times New Roman" w:eastAsia="宋体" w:cs="Times New Roman"/>
          <w:bCs/>
          <w:color w:val="000000"/>
          <w:sz w:val="24"/>
          <w:szCs w:val="24"/>
          <w:lang w:eastAsia="zh-CN"/>
        </w:rPr>
        <w:t>为</w:t>
      </w:r>
      <w:r>
        <w:rPr>
          <w:rFonts w:hint="default" w:ascii="Times New Roman" w:hAnsi="Times New Roman" w:cs="Times New Roman"/>
          <w:bCs/>
          <w:color w:val="000000"/>
          <w:sz w:val="24"/>
          <w:szCs w:val="24"/>
          <w:lang w:val="en-US" w:eastAsia="zh-CN"/>
        </w:rPr>
        <w:t>90.6</w:t>
      </w:r>
      <w:r>
        <w:rPr>
          <w:rFonts w:hint="default" w:ascii="Times New Roman" w:hAnsi="Times New Roman" w:eastAsia="宋体" w:cs="Times New Roman"/>
          <w:bCs/>
          <w:color w:val="000000"/>
          <w:sz w:val="24"/>
          <w:szCs w:val="24"/>
          <w:lang w:val="en-US" w:eastAsia="zh-CN"/>
        </w:rPr>
        <w:t>μ</w:t>
      </w:r>
      <w:r>
        <w:rPr>
          <w:rFonts w:hint="default" w:ascii="Times New Roman" w:hAnsi="Times New Roman" w:eastAsia="宋体" w:cs="Times New Roman"/>
          <w:bCs/>
          <w:color w:val="000000"/>
          <w:sz w:val="24"/>
          <w:szCs w:val="24"/>
        </w:rPr>
        <w:t>g/m</w:t>
      </w:r>
      <w:r>
        <w:rPr>
          <w:rFonts w:hint="default" w:ascii="Times New Roman" w:hAnsi="Times New Roman" w:eastAsia="宋体" w:cs="Times New Roman"/>
          <w:bCs/>
          <w:color w:val="000000"/>
          <w:sz w:val="24"/>
          <w:szCs w:val="24"/>
          <w:vertAlign w:val="superscript"/>
        </w:rPr>
        <w:t>3</w:t>
      </w:r>
      <w:r>
        <w:rPr>
          <w:rFonts w:hint="default" w:ascii="Times New Roman" w:hAnsi="Times New Roman" w:eastAsia="宋体" w:cs="Times New Roman"/>
          <w:bCs/>
          <w:color w:val="000000"/>
          <w:sz w:val="24"/>
          <w:szCs w:val="24"/>
        </w:rPr>
        <w:t>，</w:t>
      </w:r>
      <w:r>
        <w:rPr>
          <w:rFonts w:hint="default" w:ascii="Times New Roman" w:hAnsi="Times New Roman" w:eastAsia="宋体" w:cs="Times New Roman"/>
          <w:sz w:val="24"/>
          <w:szCs w:val="24"/>
          <w:lang w:eastAsia="zh-CN"/>
        </w:rPr>
        <w:t>二甲苯</w:t>
      </w:r>
      <w:r>
        <w:rPr>
          <w:rFonts w:hint="default" w:ascii="Times New Roman" w:hAnsi="Times New Roman" w:eastAsia="宋体" w:cs="Times New Roman"/>
          <w:bCs/>
          <w:color w:val="000000"/>
          <w:sz w:val="24"/>
          <w:szCs w:val="24"/>
        </w:rPr>
        <w:t>小时浓度最高</w:t>
      </w:r>
      <w:r>
        <w:rPr>
          <w:rFonts w:hint="default" w:ascii="Times New Roman" w:hAnsi="Times New Roman" w:eastAsia="宋体" w:cs="Times New Roman"/>
          <w:bCs/>
          <w:color w:val="000000"/>
          <w:sz w:val="24"/>
          <w:szCs w:val="24"/>
          <w:lang w:eastAsia="zh-CN"/>
        </w:rPr>
        <w:t>为</w:t>
      </w:r>
      <w:r>
        <w:rPr>
          <w:rFonts w:hint="default" w:ascii="Times New Roman" w:hAnsi="Times New Roman" w:cs="Times New Roman"/>
          <w:bCs/>
          <w:color w:val="000000"/>
          <w:sz w:val="24"/>
          <w:szCs w:val="24"/>
          <w:lang w:val="en-US" w:eastAsia="zh-CN"/>
        </w:rPr>
        <w:t>8.2</w:t>
      </w:r>
      <w:r>
        <w:rPr>
          <w:rFonts w:hint="default" w:ascii="Times New Roman" w:hAnsi="Times New Roman" w:eastAsia="宋体" w:cs="Times New Roman"/>
          <w:bCs/>
          <w:color w:val="000000"/>
          <w:sz w:val="24"/>
          <w:szCs w:val="24"/>
          <w:lang w:val="en-US" w:eastAsia="zh-CN"/>
        </w:rPr>
        <w:t>μ</w:t>
      </w:r>
      <w:r>
        <w:rPr>
          <w:rFonts w:hint="default" w:ascii="Times New Roman" w:hAnsi="Times New Roman" w:eastAsia="宋体" w:cs="Times New Roman"/>
          <w:bCs/>
          <w:color w:val="000000"/>
          <w:sz w:val="24"/>
          <w:szCs w:val="24"/>
        </w:rPr>
        <w:t>g/m</w:t>
      </w:r>
      <w:r>
        <w:rPr>
          <w:rFonts w:hint="default" w:ascii="Times New Roman" w:hAnsi="Times New Roman" w:eastAsia="宋体" w:cs="Times New Roman"/>
          <w:bCs/>
          <w:color w:val="000000"/>
          <w:sz w:val="24"/>
          <w:szCs w:val="24"/>
          <w:vertAlign w:val="superscript"/>
        </w:rPr>
        <w:t>3</w:t>
      </w:r>
      <w:r>
        <w:rPr>
          <w:rFonts w:hint="default" w:ascii="Times New Roman" w:hAnsi="Times New Roman" w:eastAsia="宋体" w:cs="Times New Roman"/>
          <w:bCs/>
          <w:color w:val="000000"/>
          <w:sz w:val="24"/>
          <w:szCs w:val="24"/>
        </w:rPr>
        <w:t>，</w:t>
      </w:r>
      <w:r>
        <w:rPr>
          <w:rFonts w:hint="default" w:ascii="Times New Roman" w:hAnsi="Times New Roman" w:eastAsia="宋体" w:cs="Times New Roman"/>
          <w:sz w:val="24"/>
          <w:szCs w:val="24"/>
          <w:lang w:eastAsia="zh-CN"/>
        </w:rPr>
        <w:t>VOCs</w:t>
      </w:r>
      <w:r>
        <w:rPr>
          <w:rFonts w:hint="default" w:ascii="Times New Roman" w:hAnsi="Times New Roman" w:eastAsia="宋体" w:cs="Times New Roman"/>
          <w:bCs/>
          <w:color w:val="000000"/>
          <w:sz w:val="24"/>
          <w:szCs w:val="24"/>
        </w:rPr>
        <w:t>小时浓度最高</w:t>
      </w:r>
      <w:r>
        <w:rPr>
          <w:rFonts w:hint="default" w:ascii="Times New Roman" w:hAnsi="Times New Roman" w:eastAsia="宋体" w:cs="Times New Roman"/>
          <w:bCs/>
          <w:color w:val="000000"/>
          <w:sz w:val="24"/>
          <w:szCs w:val="24"/>
          <w:lang w:eastAsia="zh-CN"/>
        </w:rPr>
        <w:t>为</w:t>
      </w:r>
      <w:r>
        <w:rPr>
          <w:rFonts w:hint="default" w:ascii="Times New Roman" w:hAnsi="Times New Roman" w:cs="Times New Roman"/>
          <w:b w:val="0"/>
          <w:bCs w:val="0"/>
          <w:color w:val="auto"/>
          <w:sz w:val="24"/>
          <w:szCs w:val="24"/>
          <w:vertAlign w:val="baseline"/>
          <w:lang w:val="en-US" w:eastAsia="zh-CN"/>
        </w:rPr>
        <w:t>1.52×10</w:t>
      </w:r>
      <w:r>
        <w:rPr>
          <w:rFonts w:hint="default" w:ascii="Times New Roman" w:hAnsi="Times New Roman" w:cs="Times New Roman"/>
          <w:b w:val="0"/>
          <w:bCs w:val="0"/>
          <w:color w:val="auto"/>
          <w:sz w:val="24"/>
          <w:szCs w:val="24"/>
          <w:vertAlign w:val="superscript"/>
          <w:lang w:val="en-US" w:eastAsia="zh-CN"/>
        </w:rPr>
        <w:t>3</w:t>
      </w:r>
      <w:r>
        <w:rPr>
          <w:rFonts w:hint="default" w:ascii="Times New Roman" w:hAnsi="Times New Roman" w:eastAsia="宋体" w:cs="Times New Roman"/>
          <w:bCs/>
          <w:color w:val="000000"/>
          <w:sz w:val="24"/>
          <w:szCs w:val="24"/>
          <w:lang w:val="en-US" w:eastAsia="zh-CN"/>
        </w:rPr>
        <w:t>μ</w:t>
      </w:r>
      <w:r>
        <w:rPr>
          <w:rFonts w:hint="default" w:ascii="Times New Roman" w:hAnsi="Times New Roman" w:eastAsia="宋体" w:cs="Times New Roman"/>
          <w:bCs/>
          <w:color w:val="000000"/>
          <w:sz w:val="24"/>
          <w:szCs w:val="24"/>
        </w:rPr>
        <w:t>g/m</w:t>
      </w:r>
      <w:r>
        <w:rPr>
          <w:rFonts w:hint="default" w:ascii="Times New Roman" w:hAnsi="Times New Roman" w:eastAsia="宋体" w:cs="Times New Roman"/>
          <w:bCs/>
          <w:color w:val="000000"/>
          <w:sz w:val="24"/>
          <w:szCs w:val="24"/>
          <w:vertAlign w:val="superscript"/>
        </w:rPr>
        <w:t>3</w:t>
      </w:r>
      <w:r>
        <w:rPr>
          <w:rFonts w:hint="default" w:ascii="Times New Roman" w:hAnsi="Times New Roman" w:eastAsia="宋体" w:cs="Times New Roman"/>
          <w:bCs/>
          <w:color w:val="000000"/>
          <w:sz w:val="24"/>
          <w:szCs w:val="24"/>
        </w:rPr>
        <w:t>，</w:t>
      </w:r>
      <w:r>
        <w:rPr>
          <w:rFonts w:hint="default" w:ascii="Times New Roman" w:hAnsi="Times New Roman" w:eastAsia="宋体" w:cs="Times New Roman"/>
          <w:sz w:val="24"/>
          <w:szCs w:val="24"/>
          <w:lang w:eastAsia="zh-CN"/>
        </w:rPr>
        <w:t>满足</w:t>
      </w:r>
      <w:r>
        <w:rPr>
          <w:rFonts w:hint="default" w:ascii="Times New Roman" w:hAnsi="Times New Roman" w:cs="Times New Roman"/>
          <w:sz w:val="24"/>
          <w:szCs w:val="24"/>
          <w:lang w:eastAsia="zh-CN"/>
        </w:rPr>
        <w:t>《挥发性有机物排放标准 第4部分：印刷业》</w:t>
      </w:r>
      <w:r>
        <w:rPr>
          <w:rFonts w:hint="default" w:ascii="Times New Roman" w:hAnsi="Times New Roman" w:eastAsia="宋体" w:cs="Times New Roman"/>
          <w:sz w:val="24"/>
          <w:szCs w:val="24"/>
          <w:lang w:eastAsia="zh-CN"/>
        </w:rPr>
        <w:t>表3标准要求</w:t>
      </w:r>
      <w:r>
        <w:rPr>
          <w:rFonts w:hint="default" w:ascii="Times New Roman" w:hAnsi="Times New Roman" w:eastAsia="宋体" w:cs="Times New Roman"/>
          <w:color w:val="auto"/>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验收监测期间，监测点位昼间噪声在54.8-56.8(dB)之间，夜间不生产，符合《工业企业厂界环境噪声排放标准》（GB12348－2008）中的2类标准限值。</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beforeLines="50"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茌平鸿博铝塑制品有限公司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茌平鸿博铝塑制品有限公司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五、工程建设对环境的影响</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项目建设进行了环境影响评价，基本落实了环境影响评价文件及其批复要求。验收监测期间，项目产生的废气、噪声能够达标排放，</w:t>
      </w:r>
      <w:r>
        <w:rPr>
          <w:rFonts w:hint="eastAsia" w:ascii="Times New Roman" w:hAnsi="Times New Roman" w:eastAsia="宋体" w:cs="Times New Roman"/>
          <w:color w:val="auto"/>
          <w:sz w:val="24"/>
          <w:szCs w:val="24"/>
          <w:lang w:val="en-US" w:eastAsia="zh-CN"/>
        </w:rPr>
        <w:t>废水、</w:t>
      </w:r>
      <w:r>
        <w:rPr>
          <w:rFonts w:hint="default" w:ascii="Times New Roman" w:hAnsi="Times New Roman" w:eastAsia="宋体" w:cs="Times New Roman"/>
          <w:color w:val="auto"/>
          <w:sz w:val="24"/>
          <w:szCs w:val="24"/>
        </w:rPr>
        <w:t>固体废物能够得到妥善处理。</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六、</w:t>
      </w:r>
      <w:r>
        <w:rPr>
          <w:rFonts w:hint="default" w:ascii="Times New Roman" w:hAnsi="Times New Roman" w:eastAsia="宋体" w:cs="Times New Roman"/>
          <w:color w:val="auto"/>
          <w:sz w:val="24"/>
          <w:szCs w:val="24"/>
        </w:rPr>
        <w:t>验收结论</w:t>
      </w:r>
    </w:p>
    <w:p>
      <w:pPr>
        <w:keepNext w:val="0"/>
        <w:keepLines w:val="0"/>
        <w:pageBreakBefore w:val="0"/>
        <w:widowControl w:val="0"/>
        <w:kinsoku/>
        <w:wordWrap/>
        <w:overflowPunct/>
        <w:topLinePunct w:val="0"/>
        <w:bidi w:val="0"/>
        <w:adjustRightInd w:val="0"/>
        <w:snapToGrid w:val="0"/>
        <w:spacing w:line="560" w:lineRule="exact"/>
        <w:ind w:firstLine="480" w:firstLineChars="200"/>
        <w:textAlignment w:val="auto"/>
        <w:rPr>
          <w:rFonts w:ascii="Times New Roman" w:hAnsi="Times New Roman"/>
          <w:sz w:val="24"/>
          <w:szCs w:val="24"/>
        </w:rPr>
      </w:pPr>
      <w:r>
        <w:rPr>
          <w:rFonts w:hint="eastAsia" w:cs="Times New Roman"/>
          <w:color w:val="auto"/>
          <w:kern w:val="2"/>
          <w:sz w:val="24"/>
          <w:szCs w:val="24"/>
          <w:lang w:val="en-US" w:eastAsia="zh-CN" w:bidi="ar-SA"/>
        </w:rPr>
        <w:t>茌平鸿博铝塑制品有限公司年产200吨纸板及180万平方米纸箱项目（一期）</w:t>
      </w:r>
      <w:r>
        <w:rPr>
          <w:rFonts w:ascii="Times New Roman" w:hAnsi="Times New Roman"/>
          <w:sz w:val="24"/>
          <w:szCs w:val="24"/>
        </w:rPr>
        <w:t>实施过程中按照环评及其批复要求落实了相关环保措施，项目建设过程未发生重大变动；验收监测的污染物排放达到国家相关排放标准，验收报告不存在重大质量缺陷。</w:t>
      </w:r>
    </w:p>
    <w:p>
      <w:pPr>
        <w:keepNext w:val="0"/>
        <w:keepLines w:val="0"/>
        <w:pageBreakBefore w:val="0"/>
        <w:widowControl w:val="0"/>
        <w:kinsoku/>
        <w:wordWrap/>
        <w:overflowPunct/>
        <w:topLinePunct w:val="0"/>
        <w:bidi w:val="0"/>
        <w:adjustRightInd w:val="0"/>
        <w:snapToGrid w:val="0"/>
        <w:spacing w:line="560" w:lineRule="exact"/>
        <w:ind w:firstLine="480" w:firstLineChars="200"/>
        <w:textAlignment w:val="auto"/>
        <w:rPr>
          <w:rFonts w:ascii="Times New Roman" w:hAnsi="Times New Roman"/>
          <w:sz w:val="24"/>
          <w:szCs w:val="24"/>
        </w:rPr>
      </w:pPr>
      <w:r>
        <w:rPr>
          <w:rFonts w:ascii="Times New Roman" w:hAnsi="Times New Roman"/>
          <w:sz w:val="24"/>
          <w:szCs w:val="24"/>
        </w:rPr>
        <w:t>鉴于项目基本符合验收条件，不存在《建设项目竣工环境保护验收暂行办法》中所规定的验收不合格情形，验收组原则上同意该项目通过环保验收。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七、后续要求</w:t>
      </w:r>
    </w:p>
    <w:p>
      <w:pPr>
        <w:spacing w:line="360" w:lineRule="auto"/>
        <w:ind w:left="233" w:leftChars="111" w:firstLine="518" w:firstLineChars="216"/>
        <w:jc w:val="left"/>
        <w:rPr>
          <w:rFonts w:hint="eastAsia"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lang w:val="en-US" w:eastAsia="zh-CN"/>
        </w:rPr>
        <w:t>规范设施废气采样孔标识和采样平台；完善环保设施操作管理规程，设置环境保护</w:t>
      </w:r>
      <w:r>
        <w:rPr>
          <w:rFonts w:hint="eastAsia" w:cs="Times New Roman"/>
          <w:color w:val="auto"/>
          <w:sz w:val="24"/>
          <w:szCs w:val="24"/>
          <w:lang w:val="en-US" w:eastAsia="zh-CN"/>
        </w:rPr>
        <w:t>设施管理台帐，确保有机废气达标排放。</w:t>
      </w:r>
    </w:p>
    <w:p>
      <w:pPr>
        <w:spacing w:line="360" w:lineRule="auto"/>
        <w:ind w:left="233" w:leftChars="111" w:firstLine="518" w:firstLineChars="216"/>
        <w:jc w:val="left"/>
        <w:rPr>
          <w:rFonts w:hint="eastAsia" w:cs="Times New Roman"/>
          <w:color w:val="auto"/>
          <w:sz w:val="24"/>
          <w:szCs w:val="24"/>
          <w:lang w:val="en-US" w:eastAsia="zh-CN"/>
        </w:rPr>
      </w:pPr>
      <w:r>
        <w:rPr>
          <w:rFonts w:hint="eastAsia" w:cs="Times New Roman"/>
          <w:color w:val="auto"/>
          <w:sz w:val="24"/>
          <w:szCs w:val="24"/>
          <w:lang w:val="en-US" w:eastAsia="zh-CN"/>
        </w:rPr>
        <w:t>2、建议油墨间、危废间设置废气收集管道，并连接至废气处理设施。</w:t>
      </w:r>
    </w:p>
    <w:p>
      <w:pPr>
        <w:spacing w:line="360" w:lineRule="auto"/>
        <w:ind w:left="233" w:leftChars="111" w:firstLine="518" w:firstLineChars="216"/>
        <w:jc w:val="left"/>
        <w:rPr>
          <w:rFonts w:hint="default" w:cs="Times New Roman"/>
          <w:color w:val="auto"/>
          <w:sz w:val="24"/>
          <w:szCs w:val="24"/>
          <w:lang w:val="en-US" w:eastAsia="zh-CN"/>
        </w:rPr>
      </w:pPr>
      <w:r>
        <w:rPr>
          <w:rFonts w:hint="eastAsia" w:cs="Times New Roman"/>
          <w:color w:val="auto"/>
          <w:sz w:val="24"/>
          <w:szCs w:val="24"/>
          <w:lang w:val="en-US" w:eastAsia="zh-CN"/>
        </w:rPr>
        <w:t>3、地面油墨太多，及时清理，保持清洁生产。</w:t>
      </w:r>
    </w:p>
    <w:p>
      <w:pPr>
        <w:spacing w:line="360" w:lineRule="auto"/>
        <w:ind w:left="233" w:leftChars="111" w:firstLine="518" w:firstLineChars="216"/>
        <w:jc w:val="left"/>
        <w:rPr>
          <w:rFonts w:hint="default" w:cs="Times New Roman"/>
          <w:color w:val="auto"/>
          <w:sz w:val="24"/>
          <w:szCs w:val="24"/>
          <w:lang w:val="en-US" w:eastAsia="zh-CN"/>
        </w:rPr>
      </w:pPr>
      <w:r>
        <w:rPr>
          <w:rFonts w:hint="eastAsia" w:cs="Times New Roman"/>
          <w:color w:val="auto"/>
          <w:sz w:val="24"/>
          <w:szCs w:val="24"/>
          <w:lang w:val="en-US" w:eastAsia="zh-CN"/>
        </w:rPr>
        <w:t>4</w:t>
      </w:r>
      <w:r>
        <w:rPr>
          <w:rFonts w:hint="default" w:cs="Times New Roman"/>
          <w:color w:val="auto"/>
          <w:sz w:val="24"/>
          <w:szCs w:val="24"/>
          <w:lang w:val="en-US" w:eastAsia="zh-CN"/>
        </w:rPr>
        <w:t>、</w:t>
      </w:r>
      <w:r>
        <w:rPr>
          <w:rFonts w:hint="eastAsia" w:cs="Times New Roman"/>
          <w:color w:val="auto"/>
          <w:sz w:val="24"/>
          <w:szCs w:val="24"/>
          <w:lang w:val="en-US" w:eastAsia="zh-CN"/>
        </w:rPr>
        <w:t>按《</w:t>
      </w:r>
      <w:r>
        <w:rPr>
          <w:rFonts w:hint="default" w:cs="Times New Roman"/>
          <w:color w:val="auto"/>
          <w:sz w:val="24"/>
          <w:szCs w:val="24"/>
          <w:lang w:val="en-US" w:eastAsia="zh-CN"/>
        </w:rPr>
        <w:fldChar w:fldCharType="begin"/>
      </w:r>
      <w:r>
        <w:rPr>
          <w:rFonts w:hint="default" w:cs="Times New Roman"/>
          <w:color w:val="auto"/>
          <w:sz w:val="24"/>
          <w:szCs w:val="24"/>
          <w:lang w:val="en-US" w:eastAsia="zh-CN"/>
        </w:rPr>
        <w:instrText xml:space="preserve"> HYPERLINK "https://baike.baidu.com/item/%E4%B8%80%E8%88%AC%E5%B7%A5%E4%B8%9A%E5%9B%BA%E4%BD%93%E5%BA%9F%E7%89%A9%E8%B4%AE%E5%AD%98%E3%80%81%E5%A4%84%E7%BD%AE%E5%9C%BA%E6%B1%A1%E6%9F%93%E6%8E%A7%E5%88%B6%E6%A0%87%E5%87%86" </w:instrText>
      </w:r>
      <w:r>
        <w:rPr>
          <w:rFonts w:hint="default" w:cs="Times New Roman"/>
          <w:color w:val="auto"/>
          <w:sz w:val="24"/>
          <w:szCs w:val="24"/>
          <w:lang w:val="en-US" w:eastAsia="zh-CN"/>
        </w:rPr>
        <w:fldChar w:fldCharType="separate"/>
      </w:r>
      <w:r>
        <w:rPr>
          <w:rFonts w:hint="eastAsia" w:cs="Times New Roman"/>
          <w:color w:val="auto"/>
          <w:sz w:val="24"/>
          <w:szCs w:val="24"/>
          <w:lang w:val="en-US" w:eastAsia="zh-CN"/>
        </w:rPr>
        <w:t>一般工业固体废物贮存、处置场污染控制标准</w:t>
      </w:r>
      <w:r>
        <w:rPr>
          <w:rFonts w:hint="eastAsia" w:cs="Times New Roman"/>
          <w:color w:val="auto"/>
          <w:sz w:val="24"/>
          <w:szCs w:val="24"/>
          <w:lang w:val="en-US" w:eastAsia="zh-CN"/>
        </w:rPr>
        <w:fldChar w:fldCharType="end"/>
      </w:r>
      <w:r>
        <w:rPr>
          <w:rFonts w:hint="eastAsia" w:cs="Times New Roman"/>
          <w:color w:val="auto"/>
          <w:sz w:val="24"/>
          <w:szCs w:val="24"/>
          <w:lang w:val="en-US" w:eastAsia="zh-CN"/>
        </w:rPr>
        <w:t>》（</w:t>
      </w:r>
      <w:r>
        <w:rPr>
          <w:rFonts w:hint="default" w:cs="Times New Roman"/>
          <w:color w:val="auto"/>
          <w:sz w:val="24"/>
          <w:szCs w:val="24"/>
          <w:lang w:val="en-US" w:eastAsia="zh-CN"/>
        </w:rPr>
        <w:t>GB18599-2001</w:t>
      </w:r>
      <w:r>
        <w:rPr>
          <w:rFonts w:hint="eastAsia" w:cs="Times New Roman"/>
          <w:color w:val="auto"/>
          <w:sz w:val="24"/>
          <w:szCs w:val="24"/>
          <w:lang w:val="en-US" w:eastAsia="zh-CN"/>
        </w:rPr>
        <w:t>，</w:t>
      </w:r>
      <w:r>
        <w:rPr>
          <w:rFonts w:hint="default" w:cs="Times New Roman"/>
          <w:color w:val="auto"/>
          <w:sz w:val="24"/>
          <w:szCs w:val="24"/>
          <w:lang w:val="en-US" w:eastAsia="zh-CN"/>
        </w:rPr>
        <w:t>2013</w:t>
      </w:r>
      <w:r>
        <w:rPr>
          <w:rFonts w:hint="eastAsia" w:cs="Times New Roman"/>
          <w:color w:val="auto"/>
          <w:sz w:val="24"/>
          <w:szCs w:val="24"/>
          <w:lang w:val="en-US" w:eastAsia="zh-CN"/>
        </w:rPr>
        <w:t>年修订）明确暂存区，规范存放车间各类物料。</w:t>
      </w:r>
    </w:p>
    <w:p>
      <w:pPr>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5</w:t>
      </w:r>
      <w:r>
        <w:rPr>
          <w:rFonts w:hint="default" w:ascii="Times New Roman" w:hAnsi="Times New Roman" w:eastAsia="宋体" w:cs="Times New Roman"/>
          <w:color w:val="auto"/>
          <w:kern w:val="2"/>
          <w:sz w:val="24"/>
          <w:szCs w:val="24"/>
          <w:lang w:val="en-US" w:eastAsia="zh-CN" w:bidi="ar-SA"/>
        </w:rPr>
        <w:t>、进一步规范危废暂存间，完善管理制度和管理台账。严格按照《危险废物贮存污染控制标准》（GB18597-2001）及修改单要求，对产生的危险废物进行贮存和管理，并委托有资质的单位及时进行转移处置。</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eastAsia" w:cs="Times New Roman"/>
          <w:color w:val="auto"/>
          <w:kern w:val="2"/>
          <w:sz w:val="24"/>
          <w:szCs w:val="24"/>
          <w:lang w:val="en-US" w:eastAsia="zh-CN" w:bidi="ar-SA"/>
        </w:rPr>
        <w:t>6</w:t>
      </w:r>
      <w:r>
        <w:rPr>
          <w:rFonts w:hint="eastAsia" w:ascii="Times New Roman" w:hAnsi="Times New Roman" w:eastAsia="宋体" w:cs="Times New Roman"/>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落实自行监测计划，定期开展废气、噪声自行监测</w:t>
      </w:r>
      <w:r>
        <w:rPr>
          <w:rFonts w:hint="default" w:ascii="Times New Roman" w:hAnsi="Times New Roman" w:eastAsia="宋体" w:cs="Times New Roman"/>
          <w:color w:val="auto"/>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7</w:t>
      </w:r>
      <w:r>
        <w:rPr>
          <w:rFonts w:hint="default" w:ascii="Times New Roman" w:hAnsi="Times New Roman" w:eastAsia="宋体" w:cs="Times New Roman"/>
          <w:color w:val="auto"/>
          <w:sz w:val="24"/>
          <w:szCs w:val="24"/>
          <w:lang w:val="en-US" w:eastAsia="zh-CN"/>
        </w:rPr>
        <w:t>、进一步规范验收监测报告编制内容。</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八、验收人员信息</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见附件。</w:t>
      </w:r>
    </w:p>
    <w:p>
      <w:pPr>
        <w:spacing w:line="360" w:lineRule="auto"/>
        <w:ind w:left="233" w:leftChars="111" w:firstLine="518" w:firstLineChars="216"/>
        <w:jc w:val="right"/>
        <w:rPr>
          <w:rFonts w:hint="default" w:ascii="Times New Roman" w:hAnsi="Times New Roman" w:eastAsia="宋体" w:cs="Times New Roman"/>
          <w:color w:val="auto"/>
          <w:sz w:val="24"/>
          <w:szCs w:val="24"/>
        </w:rPr>
      </w:pPr>
    </w:p>
    <w:p>
      <w:pPr>
        <w:spacing w:line="360" w:lineRule="auto"/>
        <w:ind w:left="233" w:leftChars="111" w:firstLine="518" w:firstLineChars="216"/>
        <w:jc w:val="right"/>
        <w:rPr>
          <w:rFonts w:hint="eastAsia" w:cs="Times New Roman"/>
          <w:color w:val="auto"/>
          <w:sz w:val="24"/>
          <w:szCs w:val="24"/>
          <w:lang w:eastAsia="zh-CN"/>
        </w:rPr>
      </w:pPr>
      <w:r>
        <w:rPr>
          <w:rFonts w:hint="eastAsia" w:cs="Times New Roman"/>
          <w:color w:val="auto"/>
          <w:sz w:val="24"/>
          <w:szCs w:val="24"/>
          <w:lang w:eastAsia="zh-CN"/>
        </w:rPr>
        <w:t>茌平鸿博铝塑制品有限公司</w:t>
      </w:r>
    </w:p>
    <w:p>
      <w:pPr>
        <w:spacing w:line="360" w:lineRule="auto"/>
        <w:ind w:left="233" w:leftChars="111" w:firstLine="518" w:firstLineChars="216"/>
        <w:jc w:val="righ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rPr>
        <w:t xml:space="preserve">          </w:t>
      </w:r>
      <w:r>
        <w:rPr>
          <w:rFonts w:hint="default" w:ascii="Times New Roman" w:hAnsi="Times New Roman" w:eastAsia="宋体" w:cs="Times New Roman"/>
          <w:color w:val="auto"/>
          <w:sz w:val="24"/>
          <w:szCs w:val="24"/>
          <w:highlight w:val="none"/>
        </w:rPr>
        <w:t xml:space="preserve">                      20</w:t>
      </w:r>
      <w:r>
        <w:rPr>
          <w:rFonts w:hint="eastAsia" w:cs="Times New Roman"/>
          <w:color w:val="auto"/>
          <w:sz w:val="24"/>
          <w:szCs w:val="24"/>
          <w:highlight w:val="none"/>
          <w:lang w:val="en-US" w:eastAsia="zh-CN"/>
        </w:rPr>
        <w:t>20</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日</w:t>
      </w:r>
    </w:p>
    <w:p>
      <w:pPr>
        <w:pStyle w:val="2"/>
        <w:rPr>
          <w:rFonts w:hint="default"/>
          <w:lang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2E1230E"/>
    <w:rsid w:val="0363342C"/>
    <w:rsid w:val="0400088B"/>
    <w:rsid w:val="06DC5C52"/>
    <w:rsid w:val="0705220E"/>
    <w:rsid w:val="07E235D4"/>
    <w:rsid w:val="0A775B6C"/>
    <w:rsid w:val="0BB105F9"/>
    <w:rsid w:val="0BCD78E3"/>
    <w:rsid w:val="0BD4352F"/>
    <w:rsid w:val="0C9D7A18"/>
    <w:rsid w:val="0D002E61"/>
    <w:rsid w:val="0E9F521D"/>
    <w:rsid w:val="110D6D4E"/>
    <w:rsid w:val="13242E95"/>
    <w:rsid w:val="17073D8B"/>
    <w:rsid w:val="188E6607"/>
    <w:rsid w:val="18D05E89"/>
    <w:rsid w:val="19BD6A9B"/>
    <w:rsid w:val="1AAF6CA7"/>
    <w:rsid w:val="1B753DC5"/>
    <w:rsid w:val="1B7C7285"/>
    <w:rsid w:val="1DF30D46"/>
    <w:rsid w:val="1E9D1B02"/>
    <w:rsid w:val="20F95110"/>
    <w:rsid w:val="21E62141"/>
    <w:rsid w:val="23253252"/>
    <w:rsid w:val="24DD3549"/>
    <w:rsid w:val="27420539"/>
    <w:rsid w:val="27776D4F"/>
    <w:rsid w:val="284C33EF"/>
    <w:rsid w:val="286B6E9D"/>
    <w:rsid w:val="2BD129D7"/>
    <w:rsid w:val="2BFB35B9"/>
    <w:rsid w:val="2C8345D6"/>
    <w:rsid w:val="2DE61E9D"/>
    <w:rsid w:val="2E594393"/>
    <w:rsid w:val="31572BC2"/>
    <w:rsid w:val="337178B1"/>
    <w:rsid w:val="33E80446"/>
    <w:rsid w:val="35A21894"/>
    <w:rsid w:val="35CA7C00"/>
    <w:rsid w:val="371221B6"/>
    <w:rsid w:val="395656FC"/>
    <w:rsid w:val="3B2962D5"/>
    <w:rsid w:val="3B9345B4"/>
    <w:rsid w:val="3C495586"/>
    <w:rsid w:val="3C614E95"/>
    <w:rsid w:val="3D216C63"/>
    <w:rsid w:val="3D481CA9"/>
    <w:rsid w:val="407E79EC"/>
    <w:rsid w:val="425A3055"/>
    <w:rsid w:val="42D02360"/>
    <w:rsid w:val="42ED0B8D"/>
    <w:rsid w:val="440B2C50"/>
    <w:rsid w:val="45B12AB5"/>
    <w:rsid w:val="4BC32318"/>
    <w:rsid w:val="4D966CB6"/>
    <w:rsid w:val="51603323"/>
    <w:rsid w:val="52082039"/>
    <w:rsid w:val="520B1012"/>
    <w:rsid w:val="56DD1623"/>
    <w:rsid w:val="584674DB"/>
    <w:rsid w:val="5B994AD0"/>
    <w:rsid w:val="5BB97A85"/>
    <w:rsid w:val="5C705EEE"/>
    <w:rsid w:val="5D580A9C"/>
    <w:rsid w:val="5F0C4CFF"/>
    <w:rsid w:val="602A22C2"/>
    <w:rsid w:val="64C4763E"/>
    <w:rsid w:val="65826A80"/>
    <w:rsid w:val="66FB5067"/>
    <w:rsid w:val="6A4209DB"/>
    <w:rsid w:val="6ABA50EB"/>
    <w:rsid w:val="6DEB0CC4"/>
    <w:rsid w:val="6E620EC2"/>
    <w:rsid w:val="72964393"/>
    <w:rsid w:val="72C90F73"/>
    <w:rsid w:val="7593546D"/>
    <w:rsid w:val="75C3338A"/>
    <w:rsid w:val="76AB541C"/>
    <w:rsid w:val="77930543"/>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99"/>
    <w:pPr>
      <w:ind w:firstLine="420" w:firstLineChars="200"/>
    </w:pPr>
  </w:style>
  <w:style w:type="paragraph" w:customStyle="1" w:styleId="1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2020-07-17T09:03:47Z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