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东阿县旭升钢球有限公司</w:t>
      </w:r>
      <w:r>
        <w:rPr>
          <w:rFonts w:hint="eastAsia" w:cs="Times New Roman"/>
          <w:b/>
          <w:color w:val="auto"/>
          <w:sz w:val="28"/>
          <w:szCs w:val="28"/>
          <w:lang w:val="en-US" w:eastAsia="zh-CN"/>
        </w:rPr>
        <w:t>年增产400吨钢球项目</w:t>
      </w:r>
      <w:r>
        <w:rPr>
          <w:rFonts w:hint="default" w:ascii="Times New Roman" w:hAnsi="Times New Roman" w:eastAsia="宋体" w:cs="Times New Roman"/>
          <w:b/>
          <w:color w:val="auto"/>
          <w:sz w:val="28"/>
          <w:szCs w:val="28"/>
          <w:lang w:val="en-US" w:eastAsia="zh-CN"/>
        </w:rPr>
        <w:t>（一期）竣工</w:t>
      </w:r>
      <w:r>
        <w:rPr>
          <w:rFonts w:hint="default" w:ascii="Times New Roman" w:hAnsi="Times New Roman" w:eastAsia="宋体" w:cs="Times New Roman"/>
          <w:b/>
          <w:color w:val="auto"/>
          <w:sz w:val="28"/>
          <w:szCs w:val="28"/>
        </w:rPr>
        <w:t>环境保护</w:t>
      </w:r>
    </w:p>
    <w:p>
      <w:pPr>
        <w:tabs>
          <w:tab w:val="left" w:pos="360"/>
        </w:tabs>
        <w:spacing w:line="360" w:lineRule="auto"/>
        <w:ind w:left="298" w:leftChars="142"/>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验收现场检查及验收工作组验收意见</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东阿县旭升钢球有限公司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年增产400吨钢球项目</w:t>
      </w:r>
      <w:r>
        <w:rPr>
          <w:rFonts w:hint="default" w:ascii="Times New Roman" w:hAnsi="Times New Roman" w:eastAsia="宋体" w:cs="Times New Roman"/>
          <w:color w:val="auto"/>
          <w:sz w:val="24"/>
          <w:szCs w:val="24"/>
          <w:highlight w:val="none"/>
          <w:lang w:val="en-US" w:eastAsia="zh-CN"/>
        </w:rPr>
        <w:t>（一期）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default" w:ascii="Times New Roman" w:hAnsi="Times New Roman" w:eastAsia="宋体" w:cs="Times New Roman"/>
          <w:color w:val="auto"/>
          <w:sz w:val="24"/>
          <w:szCs w:val="24"/>
          <w:lang w:val="en-US" w:eastAsia="zh-CN"/>
        </w:rPr>
        <w:t>东阿县旭升钢球有限公司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东阿县旭升钢球有限公司，法定代表人孟凡迎，公司位于东阿县铜城办事处南、铜鱼路北段路西，占地面积4800m</w:t>
      </w:r>
      <w:r>
        <w:rPr>
          <w:rFonts w:hint="default"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lang w:val="en-US" w:eastAsia="zh-CN"/>
        </w:rPr>
        <w:t>，预计总投资600万元，建设年增产400吨钢球项目，购置磨球机、精研机及选球机等设备，为公司的发展奠定良好的基础。</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由于企业资金问题，实际设备数量比环评设计数量较少，且部分工艺依托原有设备。项目分期验收，本次验收为一期，投资120万元，生产规模为年产80吨钢球。</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（二）环保审批情况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本次验收为改扩建项目。2019年7月东阿县旭升钢球有限公司</w:t>
      </w:r>
      <w:r>
        <w:rPr>
          <w:rFonts w:hint="default" w:ascii="Times New Roman" w:hAnsi="Times New Roman" w:eastAsia="宋体" w:cs="Times New Roman"/>
          <w:color w:val="auto"/>
          <w:sz w:val="24"/>
          <w:szCs w:val="24"/>
          <w:highlight w:val="none"/>
          <w:lang w:val="en-US" w:eastAsia="zh-CN"/>
        </w:rPr>
        <w:t>委托聊城市环境科学工程设计院有限公司</w:t>
      </w:r>
      <w:r>
        <w:rPr>
          <w:rFonts w:hint="default" w:ascii="Times New Roman" w:hAnsi="Times New Roman" w:eastAsia="宋体" w:cs="Times New Roman"/>
          <w:color w:val="auto"/>
          <w:sz w:val="24"/>
          <w:szCs w:val="24"/>
          <w:highlight w:val="none"/>
        </w:rPr>
        <w:t>编制了《</w:t>
      </w:r>
      <w:r>
        <w:rPr>
          <w:rFonts w:hint="default" w:ascii="Times New Roman" w:hAnsi="Times New Roman" w:eastAsia="宋体" w:cs="Times New Roman"/>
          <w:color w:val="auto"/>
          <w:sz w:val="24"/>
          <w:szCs w:val="24"/>
          <w:highlight w:val="none"/>
          <w:lang w:eastAsia="zh-CN"/>
        </w:rPr>
        <w:t>东阿县旭升钢球有限公司</w:t>
      </w:r>
      <w:r>
        <w:rPr>
          <w:rFonts w:hint="default" w:ascii="Times New Roman" w:hAnsi="Times New Roman" w:eastAsia="宋体" w:cs="Times New Roman"/>
          <w:color w:val="auto"/>
          <w:sz w:val="24"/>
          <w:szCs w:val="24"/>
          <w:highlight w:val="none"/>
          <w:lang w:val="en-US" w:eastAsia="zh-CN"/>
        </w:rPr>
        <w:t>年增产400吨钢球项目环境影响报告表</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，2019年8月13号</w:t>
      </w:r>
      <w:r>
        <w:rPr>
          <w:rFonts w:hint="default" w:ascii="Times New Roman" w:hAnsi="Times New Roman" w:eastAsia="宋体" w:cs="Times New Roman"/>
          <w:color w:val="auto"/>
          <w:sz w:val="24"/>
          <w:szCs w:val="24"/>
          <w:highlight w:val="none"/>
          <w:lang w:val="en-US" w:eastAsia="zh-CN"/>
        </w:rPr>
        <w:t>东阿县行政审批服务局</w:t>
      </w:r>
      <w:r>
        <w:rPr>
          <w:rFonts w:hint="default" w:ascii="Times New Roman" w:hAnsi="Times New Roman" w:eastAsia="宋体" w:cs="Times New Roman"/>
          <w:color w:val="auto"/>
          <w:sz w:val="24"/>
          <w:szCs w:val="24"/>
          <w:highlight w:val="none"/>
        </w:rPr>
        <w:t>以</w:t>
      </w:r>
      <w:r>
        <w:rPr>
          <w:rFonts w:hint="default" w:ascii="Times New Roman" w:hAnsi="Times New Roman" w:eastAsia="宋体" w:cs="Times New Roman"/>
          <w:color w:val="auto"/>
          <w:sz w:val="24"/>
          <w:szCs w:val="24"/>
          <w:highlight w:val="none"/>
          <w:lang w:eastAsia="zh-CN"/>
        </w:rPr>
        <w:t>东行审环报告表[2019]46号</w:t>
      </w:r>
      <w:r>
        <w:rPr>
          <w:rFonts w:hint="default" w:ascii="Times New Roman" w:hAnsi="Times New Roman" w:eastAsia="宋体" w:cs="Times New Roman"/>
          <w:color w:val="auto"/>
          <w:sz w:val="24"/>
          <w:szCs w:val="24"/>
          <w:highlight w:val="none"/>
        </w:rPr>
        <w:t>对其进行了审批。20</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月公司委托</w:t>
      </w:r>
      <w:r>
        <w:rPr>
          <w:rFonts w:hint="default" w:ascii="Times New Roman" w:hAnsi="Times New Roman" w:eastAsia="宋体" w:cs="Times New Roman"/>
          <w:color w:val="auto"/>
          <w:sz w:val="24"/>
          <w:szCs w:val="24"/>
          <w:highlight w:val="none"/>
          <w:lang w:val="en-US" w:eastAsia="zh-CN"/>
        </w:rPr>
        <w:t>山东聊和环保科技有限公司</w:t>
      </w:r>
      <w:r>
        <w:rPr>
          <w:rFonts w:hint="default" w:ascii="Times New Roman" w:hAnsi="Times New Roman" w:eastAsia="宋体" w:cs="Times New Roman"/>
          <w:color w:val="auto"/>
          <w:sz w:val="24"/>
          <w:szCs w:val="24"/>
          <w:highlight w:val="none"/>
        </w:rPr>
        <w:t>进行该项目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的环保验收监测工作，接</w:t>
      </w:r>
      <w:r>
        <w:rPr>
          <w:rFonts w:hint="default" w:ascii="Times New Roman" w:hAnsi="Times New Roman" w:eastAsia="宋体" w:cs="Times New Roman"/>
          <w:color w:val="auto"/>
          <w:sz w:val="24"/>
          <w:szCs w:val="24"/>
          <w:highlight w:val="none"/>
          <w:lang w:eastAsia="zh-CN"/>
        </w:rPr>
        <w:t>受</w:t>
      </w:r>
      <w:r>
        <w:rPr>
          <w:rFonts w:hint="default" w:ascii="Times New Roman" w:hAnsi="Times New Roman" w:eastAsia="宋体" w:cs="Times New Roman"/>
          <w:color w:val="auto"/>
          <w:sz w:val="24"/>
          <w:szCs w:val="24"/>
          <w:highlight w:val="none"/>
        </w:rPr>
        <w:t>委托后</w:t>
      </w:r>
      <w:r>
        <w:rPr>
          <w:rFonts w:hint="default" w:ascii="Times New Roman" w:hAnsi="Times New Roman" w:eastAsia="宋体" w:cs="Times New Roman"/>
          <w:color w:val="auto"/>
          <w:sz w:val="24"/>
          <w:szCs w:val="24"/>
          <w:highlight w:val="none"/>
          <w:lang w:val="en-US" w:eastAsia="zh-CN"/>
        </w:rPr>
        <w:t>山东聊和环保科技有限公司</w:t>
      </w:r>
      <w:r>
        <w:rPr>
          <w:rFonts w:hint="default" w:ascii="Times New Roman" w:hAnsi="Times New Roman" w:eastAsia="宋体" w:cs="Times New Roman"/>
          <w:color w:val="auto"/>
          <w:sz w:val="24"/>
          <w:szCs w:val="24"/>
          <w:highlight w:val="none"/>
        </w:rPr>
        <w:t>组织有关技术人员进行现场踏勘，依据监测技术规范制定了</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环保验收监测方案，并于20</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eastAsia="zh-CN"/>
        </w:rPr>
        <w:t>年</w:t>
      </w:r>
      <w:r>
        <w:rPr>
          <w:rFonts w:hint="default" w:ascii="Times New Roman" w:hAnsi="Times New Roman" w:eastAsia="宋体" w:cs="Times New Roman"/>
          <w:color w:val="auto"/>
          <w:sz w:val="24"/>
          <w:szCs w:val="24"/>
          <w:highlight w:val="none"/>
          <w:lang w:val="en-US" w:eastAsia="zh-CN"/>
        </w:rPr>
        <w:t>07月13日-14日</w:t>
      </w:r>
      <w:r>
        <w:rPr>
          <w:rFonts w:hint="default" w:ascii="Times New Roman" w:hAnsi="Times New Roman" w:eastAsia="宋体" w:cs="Times New Roman"/>
          <w:color w:val="auto"/>
          <w:sz w:val="24"/>
          <w:szCs w:val="24"/>
          <w:highlight w:val="none"/>
          <w:lang w:eastAsia="zh-CN"/>
        </w:rPr>
        <w:t>对该企业进行了验收监测，</w:t>
      </w:r>
      <w:r>
        <w:rPr>
          <w:rFonts w:hint="default" w:ascii="Times New Roman" w:hAnsi="Times New Roman" w:eastAsia="宋体" w:cs="Times New Roman"/>
          <w:color w:val="auto"/>
          <w:sz w:val="24"/>
          <w:szCs w:val="24"/>
          <w:highlight w:val="none"/>
        </w:rPr>
        <w:t>根据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验收监测结果和现场检查情况编制了本项目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验收监测报告。</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（三）投资情况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实际总投资</w:t>
      </w:r>
      <w:r>
        <w:rPr>
          <w:rFonts w:hint="eastAsia" w:cs="Times New Roman"/>
          <w:color w:val="auto"/>
          <w:sz w:val="24"/>
          <w:szCs w:val="24"/>
          <w:highlight w:val="none"/>
          <w:lang w:val="en-US" w:eastAsia="zh-CN"/>
        </w:rPr>
        <w:t>120</w:t>
      </w:r>
      <w:r>
        <w:rPr>
          <w:rFonts w:hint="default" w:ascii="Times New Roman" w:hAnsi="Times New Roman" w:eastAsia="宋体" w:cs="Times New Roman"/>
          <w:color w:val="auto"/>
          <w:sz w:val="24"/>
          <w:szCs w:val="24"/>
          <w:highlight w:val="none"/>
          <w:lang w:val="en-US" w:eastAsia="zh-CN"/>
        </w:rPr>
        <w:t>万</w:t>
      </w:r>
      <w:r>
        <w:rPr>
          <w:rFonts w:hint="default" w:ascii="Times New Roman" w:hAnsi="Times New Roman" w:eastAsia="宋体" w:cs="Times New Roman"/>
          <w:color w:val="auto"/>
          <w:sz w:val="24"/>
          <w:szCs w:val="24"/>
          <w:highlight w:val="none"/>
        </w:rPr>
        <w:t>元，其中环保投资</w:t>
      </w:r>
      <w:r>
        <w:rPr>
          <w:rFonts w:hint="default" w:ascii="Times New Roman" w:hAnsi="Times New Roman" w:eastAsia="宋体" w:cs="Times New Roman"/>
          <w:color w:val="auto"/>
          <w:sz w:val="24"/>
          <w:szCs w:val="24"/>
          <w:highlight w:val="none"/>
          <w:lang w:val="en-US" w:eastAsia="zh-CN"/>
        </w:rPr>
        <w:t>1</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12.5</w:t>
      </w:r>
      <w:r>
        <w:rPr>
          <w:rFonts w:hint="default" w:ascii="Times New Roman" w:hAnsi="Times New Roman" w:eastAsia="宋体" w:cs="Times New Roman"/>
          <w:color w:val="auto"/>
          <w:sz w:val="24"/>
          <w:szCs w:val="24"/>
          <w:highlight w:val="none"/>
        </w:rPr>
        <w:t>％。</w:t>
      </w:r>
    </w:p>
    <w:p>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br w:type="page"/>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（四）验收范围</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本次验收的范围为</w:t>
      </w:r>
      <w:r>
        <w:rPr>
          <w:rFonts w:hint="default" w:ascii="Times New Roman" w:hAnsi="Times New Roman" w:eastAsia="宋体" w:cs="Times New Roman"/>
          <w:color w:val="auto"/>
          <w:sz w:val="24"/>
          <w:szCs w:val="24"/>
          <w:highlight w:val="none"/>
          <w:lang w:val="en-US" w:eastAsia="zh-CN"/>
        </w:rPr>
        <w:t>年产80吨钢球生产设备</w:t>
      </w:r>
      <w:r>
        <w:rPr>
          <w:rFonts w:hint="default" w:ascii="Times New Roman" w:hAnsi="Times New Roman" w:eastAsia="宋体" w:cs="Times New Roman"/>
          <w:color w:val="auto"/>
          <w:sz w:val="24"/>
          <w:szCs w:val="24"/>
          <w:highlight w:val="none"/>
        </w:rPr>
        <w:t>及其配套环保设施。</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二、工程变更情况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sz w:val="24"/>
          <w:szCs w:val="24"/>
        </w:rPr>
        <w:t>通过现场调查，对照环评报告及审批意见，由于企业资金问题，实际设备数量比环评设计数量较少，且部分工艺依托原有设备</w:t>
      </w:r>
      <w:r>
        <w:rPr>
          <w:rFonts w:hint="eastAsia"/>
          <w:sz w:val="24"/>
          <w:szCs w:val="24"/>
        </w:rPr>
        <w:t>，</w:t>
      </w:r>
      <w:r>
        <w:rPr>
          <w:sz w:val="24"/>
          <w:szCs w:val="24"/>
        </w:rPr>
        <w:t>项目分期验收，本次验收为一期</w:t>
      </w:r>
      <w:r>
        <w:rPr>
          <w:rFonts w:hint="eastAsia"/>
          <w:bCs/>
          <w:sz w:val="24"/>
          <w:szCs w:val="24"/>
        </w:rPr>
        <w:t>。</w:t>
      </w:r>
      <w:r>
        <w:rPr>
          <w:rFonts w:hint="eastAsia"/>
          <w:sz w:val="24"/>
          <w:szCs w:val="24"/>
        </w:rPr>
        <w:t>项目一期未购置冷镦机，原材料为冷镦毛坯。</w:t>
      </w:r>
      <w:r>
        <w:rPr>
          <w:rFonts w:hint="eastAsia"/>
          <w:sz w:val="24"/>
          <w:szCs w:val="24"/>
          <w:lang w:eastAsia="zh-CN"/>
        </w:rPr>
        <w:t>环保设备企业自主增设</w:t>
      </w:r>
      <w:r>
        <w:rPr>
          <w:rFonts w:hint="eastAsia"/>
          <w:sz w:val="24"/>
          <w:szCs w:val="24"/>
          <w:lang w:val="en-US" w:eastAsia="zh-CN"/>
        </w:rPr>
        <w:t>UV光氧，提高了废气处理效率。</w:t>
      </w:r>
      <w:r>
        <w:rPr>
          <w:sz w:val="24"/>
          <w:szCs w:val="24"/>
        </w:rPr>
        <w:t>项目生产性质、生产规模、生产地点及生产工艺均无明显变动，根据《关于印发环评管理中部分行业建设项目重大变动清单的通知》环办[2015]52号，</w:t>
      </w:r>
      <w:r>
        <w:rPr>
          <w:color w:val="auto"/>
          <w:sz w:val="24"/>
          <w:szCs w:val="24"/>
        </w:rPr>
        <w:t>项目不涉及重大变更</w:t>
      </w:r>
      <w:r>
        <w:rPr>
          <w:rFonts w:hint="default" w:ascii="Times New Roman" w:hAnsi="Times New Roman" w:eastAsia="宋体" w:cs="Times New Roman"/>
          <w:color w:val="auto"/>
          <w:sz w:val="24"/>
          <w:szCs w:val="24"/>
          <w:highlight w:val="none"/>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三、</w:t>
      </w:r>
      <w:r>
        <w:rPr>
          <w:rFonts w:hint="default" w:ascii="Times New Roman" w:hAnsi="Times New Roman" w:eastAsia="宋体" w:cs="Times New Roman"/>
          <w:color w:val="auto"/>
          <w:sz w:val="24"/>
          <w:szCs w:val="24"/>
          <w:highlight w:val="none"/>
        </w:rPr>
        <w:t>环境保护设施落实情况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（一）废水污染源及其治理措施</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废水包括生产废水及生活废水。其中生产废水磨削液稀释用水及淬火冷却水均循环使用，不外排；煤油脱水废水及洗球废水经溶气气浮污水处理设施气浮+好氧快滤处理后，回用于清洗循环水池、不外排。生活污水经化粪池收集后由当地环卫部门清运。</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（二）废气污染源及其治理措施</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项目在淬火油池、煤油脱水和涂防锈油等工序产生VOCs。建设方安装集气罩经“静电油烟净化+UV光氧+活性炭吸附”设施处理，处理后的废气通过15m高排气筒排放。未被收集的VOCs及磨盘修整产生的少量金属粉尘，通过车间通风后无组织排放</w:t>
      </w:r>
      <w:r>
        <w:rPr>
          <w:rFonts w:hint="default" w:ascii="Times New Roman" w:hAnsi="Times New Roman" w:eastAsia="宋体" w:cs="Times New Roman"/>
          <w:color w:val="auto"/>
          <w:sz w:val="24"/>
          <w:szCs w:val="24"/>
          <w:highlight w:val="none"/>
          <w:lang w:val="en-US" w:eastAsia="zh-CN"/>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（三）噪声</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本项目的噪声主要为磨球机、精研机等各类机械设备运行时产生的噪声。本项目设置基础减震等降噪措施，再加上厂房隔声、经距离衰减，降低对周围声环境的影响</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 xml:space="preserve"> </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（四）固体废物</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本项目固体废物主要包括金属屑、次品，磨球、研球的循环水池中的铁泥，淬火油池产生的泥渣，废气处理设施收集的废矿物油、废UV灯管、废活性炭，废水处理设施的废油和沉泥，生活垃圾。</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车间内产生的金属屑、次品与循环池产生的铁泥均外售于相关企业综合利用。职工办公生活垃圾由环卫部门处理。废UV灯管属于HW29类危险废物，淬火油池泥渣、废气处理设施收集的废矿物油、废活性炭、废水处理设施废油和沉泥均属于HW08类危险废物，委托山东万洁环保科技有限公司代为处置。</w:t>
      </w:r>
    </w:p>
    <w:p>
      <w:pP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br w:type="page"/>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四、</w:t>
      </w:r>
      <w:r>
        <w:rPr>
          <w:rFonts w:hint="default" w:ascii="Times New Roman" w:hAnsi="Times New Roman" w:eastAsia="宋体" w:cs="Times New Roman"/>
          <w:color w:val="auto"/>
          <w:sz w:val="24"/>
          <w:szCs w:val="24"/>
          <w:highlight w:val="none"/>
        </w:rPr>
        <w:t>验收监测结果</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（一）环保设施运行检测结果</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山东聊和环保科技有限公司</w:t>
      </w:r>
      <w:r>
        <w:rPr>
          <w:rFonts w:hint="default" w:ascii="Times New Roman" w:hAnsi="Times New Roman" w:eastAsia="宋体" w:cs="Times New Roman"/>
          <w:color w:val="auto"/>
          <w:sz w:val="24"/>
          <w:szCs w:val="24"/>
          <w:highlight w:val="none"/>
        </w:rPr>
        <w:t>出具的《</w:t>
      </w:r>
      <w:r>
        <w:rPr>
          <w:rFonts w:hint="default" w:ascii="Times New Roman" w:hAnsi="Times New Roman" w:eastAsia="宋体" w:cs="Times New Roman"/>
          <w:color w:val="auto"/>
          <w:sz w:val="24"/>
          <w:szCs w:val="24"/>
          <w:highlight w:val="none"/>
          <w:lang w:val="en-US" w:eastAsia="zh-CN"/>
        </w:rPr>
        <w:t>东阿县旭升钢球有限公司</w:t>
      </w:r>
      <w:r>
        <w:rPr>
          <w:rFonts w:hint="eastAsia" w:cs="Times New Roman"/>
          <w:color w:val="auto"/>
          <w:sz w:val="24"/>
          <w:szCs w:val="24"/>
          <w:highlight w:val="none"/>
          <w:lang w:val="en-US" w:eastAsia="zh-CN"/>
        </w:rPr>
        <w:t>年增产400吨钢球项目</w:t>
      </w:r>
      <w:r>
        <w:rPr>
          <w:rFonts w:hint="default" w:ascii="Times New Roman" w:hAnsi="Times New Roman" w:eastAsia="宋体" w:cs="Times New Roman"/>
          <w:color w:val="auto"/>
          <w:sz w:val="24"/>
          <w:szCs w:val="24"/>
          <w:highlight w:val="none"/>
          <w:lang w:val="en-US" w:eastAsia="zh-CN"/>
        </w:rPr>
        <w:t>（一期）</w:t>
      </w:r>
      <w:r>
        <w:rPr>
          <w:rFonts w:hint="default" w:ascii="Times New Roman" w:hAnsi="Times New Roman" w:eastAsia="宋体" w:cs="Times New Roman"/>
          <w:color w:val="auto"/>
          <w:sz w:val="24"/>
          <w:szCs w:val="24"/>
          <w:highlight w:val="none"/>
        </w:rPr>
        <w:t>竣工环境保护验收监测报告》监测结果表明：</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废水</w:t>
      </w:r>
      <w:bookmarkStart w:id="0" w:name="_GoBack"/>
      <w:bookmarkEnd w:id="0"/>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磨削液稀释用水、淬火冷却水均循环使用，定期补充损耗，不外排；煤油脱水废水及洗球废水经处理后，验收监测期间，废水pH为7.59-7.64，五日生化需氧量最高排放浓度为6.5mg/L，悬浮物最高排放浓度为7mg/L，均满足《城市污水再生利用 工业用水水质》（GB/T19923-2005）表1中洗涤用水水质标准，回用于清洗循环水。生活污水经化粪池收集后由当地环卫部门清运</w:t>
      </w:r>
      <w:r>
        <w:rPr>
          <w:rFonts w:hint="default" w:ascii="Times New Roman" w:hAnsi="Times New Roman" w:eastAsia="宋体" w:cs="Times New Roman"/>
          <w:color w:val="auto"/>
          <w:sz w:val="24"/>
          <w:szCs w:val="24"/>
          <w:highlight w:val="none"/>
          <w:lang w:eastAsia="zh-CN"/>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废气</w:t>
      </w:r>
    </w:p>
    <w:p>
      <w:pPr>
        <w:pStyle w:val="2"/>
        <w:spacing w:line="360" w:lineRule="auto"/>
        <w:ind w:left="216" w:leftChars="103" w:firstLine="621" w:firstLineChars="259"/>
        <w:jc w:val="both"/>
        <w:rPr>
          <w:rFonts w:ascii="Times New Roman" w:hAnsi="Times New Roman"/>
          <w:color w:val="auto"/>
          <w:sz w:val="24"/>
          <w:szCs w:val="24"/>
        </w:rPr>
      </w:pPr>
      <w:r>
        <w:rPr>
          <w:rFonts w:ascii="Times New Roman" w:hAnsi="Times New Roman"/>
          <w:color w:val="auto"/>
          <w:sz w:val="24"/>
          <w:szCs w:val="24"/>
        </w:rPr>
        <w:t>验收监测期间，有组织</w:t>
      </w:r>
      <w:r>
        <w:rPr>
          <w:rFonts w:hint="eastAsia" w:ascii="Times New Roman" w:hAnsi="Times New Roman"/>
          <w:color w:val="auto"/>
          <w:sz w:val="24"/>
          <w:szCs w:val="24"/>
        </w:rPr>
        <w:t>VOCs最高排放浓度</w:t>
      </w:r>
      <w:r>
        <w:rPr>
          <w:rFonts w:ascii="Times New Roman" w:hAnsi="Times New Roman"/>
          <w:color w:val="auto"/>
          <w:sz w:val="24"/>
          <w:szCs w:val="24"/>
        </w:rPr>
        <w:t>为0.</w:t>
      </w:r>
      <w:r>
        <w:rPr>
          <w:rFonts w:hint="eastAsia" w:ascii="Times New Roman" w:hAnsi="Times New Roman"/>
          <w:color w:val="auto"/>
          <w:sz w:val="24"/>
          <w:szCs w:val="24"/>
        </w:rPr>
        <w:t>70</w:t>
      </w:r>
      <w:r>
        <w:rPr>
          <w:rFonts w:ascii="Times New Roman" w:hAnsi="Times New Roman"/>
          <w:color w:val="auto"/>
          <w:sz w:val="24"/>
          <w:szCs w:val="24"/>
        </w:rPr>
        <w:t>mg/m</w:t>
      </w:r>
      <w:r>
        <w:rPr>
          <w:rFonts w:ascii="Times New Roman" w:hAnsi="Times New Roman"/>
          <w:color w:val="auto"/>
          <w:sz w:val="24"/>
          <w:szCs w:val="24"/>
          <w:vertAlign w:val="superscript"/>
        </w:rPr>
        <w:t>3</w:t>
      </w:r>
      <w:r>
        <w:rPr>
          <w:rFonts w:ascii="Times New Roman" w:hAnsi="Times New Roman"/>
          <w:color w:val="auto"/>
          <w:sz w:val="24"/>
          <w:szCs w:val="24"/>
        </w:rPr>
        <w:t>，排放速率最高为</w:t>
      </w:r>
      <w:r>
        <w:rPr>
          <w:rFonts w:hint="eastAsia" w:ascii="Times New Roman" w:hAnsi="Times New Roman"/>
          <w:color w:val="auto"/>
          <w:sz w:val="24"/>
          <w:szCs w:val="24"/>
        </w:rPr>
        <w:t>2.8</w:t>
      </w:r>
      <w:r>
        <w:rPr>
          <w:rFonts w:ascii="Times New Roman" w:hAnsi="Times New Roman"/>
          <w:color w:val="auto"/>
          <w:sz w:val="24"/>
          <w:szCs w:val="24"/>
        </w:rPr>
        <w:t>×10</w:t>
      </w:r>
      <w:r>
        <w:rPr>
          <w:rFonts w:ascii="Times New Roman" w:hAnsi="Times New Roman"/>
          <w:color w:val="auto"/>
          <w:sz w:val="24"/>
          <w:szCs w:val="24"/>
          <w:vertAlign w:val="superscript"/>
        </w:rPr>
        <w:t>-3</w:t>
      </w:r>
      <w:r>
        <w:rPr>
          <w:rFonts w:ascii="Times New Roman" w:hAnsi="Times New Roman"/>
          <w:color w:val="auto"/>
          <w:sz w:val="24"/>
          <w:szCs w:val="24"/>
        </w:rPr>
        <w:t>kg/h，满足《挥发性有机物排放标准 第7部分：其他行业》（DB37/2801.7-2019）表1相关标准。</w:t>
      </w:r>
    </w:p>
    <w:p>
      <w:pPr>
        <w:pStyle w:val="12"/>
        <w:ind w:left="218" w:leftChars="104" w:firstLine="619" w:firstLineChars="258"/>
        <w:rPr>
          <w:rFonts w:hint="default" w:ascii="Times New Roman" w:hAnsi="Times New Roman" w:eastAsia="宋体" w:cs="Times New Roman"/>
          <w:bCs w:val="0"/>
          <w:color w:val="auto"/>
          <w:kern w:val="2"/>
          <w:sz w:val="24"/>
          <w:szCs w:val="24"/>
          <w:highlight w:val="none"/>
          <w:lang w:val="en-US" w:eastAsia="zh-CN" w:bidi="ar-SA"/>
        </w:rPr>
      </w:pPr>
      <w:r>
        <w:rPr>
          <w:rFonts w:hint="default" w:ascii="Times New Roman" w:hAnsi="Times New Roman" w:eastAsia="宋体" w:cs="Times New Roman"/>
          <w:bCs w:val="0"/>
          <w:color w:val="auto"/>
          <w:kern w:val="2"/>
          <w:sz w:val="24"/>
          <w:szCs w:val="24"/>
          <w:highlight w:val="none"/>
          <w:lang w:val="en-US" w:eastAsia="zh-CN" w:bidi="ar-SA"/>
        </w:rPr>
        <w:t>总量控制：根据本次项目监测结果，以及企业提供运行时间，本项目</w:t>
      </w:r>
      <w:r>
        <w:rPr>
          <w:rFonts w:hint="eastAsia" w:ascii="Times New Roman" w:hAnsi="Times New Roman" w:eastAsia="宋体" w:cs="Times New Roman"/>
          <w:bCs w:val="0"/>
          <w:color w:val="auto"/>
          <w:kern w:val="2"/>
          <w:sz w:val="24"/>
          <w:szCs w:val="24"/>
          <w:highlight w:val="none"/>
          <w:lang w:val="en-US" w:eastAsia="zh-CN" w:bidi="ar-SA"/>
        </w:rPr>
        <w:t>VOCs</w:t>
      </w:r>
      <w:r>
        <w:rPr>
          <w:rFonts w:hint="default" w:ascii="Times New Roman" w:hAnsi="Times New Roman" w:eastAsia="宋体" w:cs="Times New Roman"/>
          <w:bCs w:val="0"/>
          <w:color w:val="auto"/>
          <w:kern w:val="2"/>
          <w:sz w:val="24"/>
          <w:szCs w:val="24"/>
          <w:highlight w:val="none"/>
          <w:lang w:val="en-US" w:eastAsia="zh-CN" w:bidi="ar-SA"/>
        </w:rPr>
        <w:t>折算为满负荷后排放总量分别为0.0</w:t>
      </w:r>
      <w:r>
        <w:rPr>
          <w:rFonts w:hint="eastAsia" w:ascii="Times New Roman" w:hAnsi="Times New Roman" w:eastAsia="宋体" w:cs="Times New Roman"/>
          <w:bCs w:val="0"/>
          <w:color w:val="auto"/>
          <w:kern w:val="2"/>
          <w:sz w:val="24"/>
          <w:szCs w:val="24"/>
          <w:highlight w:val="none"/>
          <w:lang w:val="en-US" w:eastAsia="zh-CN" w:bidi="ar-SA"/>
        </w:rPr>
        <w:t>21</w:t>
      </w:r>
      <w:r>
        <w:rPr>
          <w:rFonts w:hint="default" w:ascii="Times New Roman" w:hAnsi="Times New Roman" w:eastAsia="宋体" w:cs="Times New Roman"/>
          <w:bCs w:val="0"/>
          <w:color w:val="auto"/>
          <w:kern w:val="2"/>
          <w:sz w:val="24"/>
          <w:szCs w:val="24"/>
          <w:highlight w:val="none"/>
          <w:lang w:val="en-US" w:eastAsia="zh-CN" w:bidi="ar-SA"/>
        </w:rPr>
        <w:t>t/a，满足</w:t>
      </w:r>
      <w:r>
        <w:rPr>
          <w:rFonts w:hint="eastAsia" w:ascii="Times New Roman" w:hAnsi="Times New Roman" w:eastAsia="宋体" w:cs="Times New Roman"/>
          <w:bCs w:val="0"/>
          <w:color w:val="auto"/>
          <w:kern w:val="2"/>
          <w:sz w:val="24"/>
          <w:szCs w:val="24"/>
          <w:highlight w:val="none"/>
          <w:lang w:val="en-US" w:eastAsia="zh-CN" w:bidi="ar-SA"/>
        </w:rPr>
        <w:t>东阿县行政审批服务局批复</w:t>
      </w:r>
      <w:r>
        <w:rPr>
          <w:rFonts w:hint="default" w:ascii="Times New Roman" w:hAnsi="Times New Roman" w:eastAsia="宋体" w:cs="Times New Roman"/>
          <w:bCs w:val="0"/>
          <w:color w:val="auto"/>
          <w:kern w:val="2"/>
          <w:sz w:val="24"/>
          <w:szCs w:val="24"/>
          <w:highlight w:val="none"/>
          <w:lang w:val="en-US" w:eastAsia="zh-CN" w:bidi="ar-SA"/>
        </w:rPr>
        <w:t>中总量控制指标0.</w:t>
      </w:r>
      <w:r>
        <w:rPr>
          <w:rFonts w:hint="eastAsia" w:ascii="Times New Roman" w:hAnsi="Times New Roman" w:eastAsia="宋体" w:cs="Times New Roman"/>
          <w:bCs w:val="0"/>
          <w:color w:val="auto"/>
          <w:kern w:val="2"/>
          <w:sz w:val="24"/>
          <w:szCs w:val="24"/>
          <w:highlight w:val="none"/>
          <w:lang w:val="en-US" w:eastAsia="zh-CN" w:bidi="ar-SA"/>
        </w:rPr>
        <w:t>281</w:t>
      </w:r>
      <w:r>
        <w:rPr>
          <w:rFonts w:hint="default" w:ascii="Times New Roman" w:hAnsi="Times New Roman" w:eastAsia="宋体" w:cs="Times New Roman"/>
          <w:bCs w:val="0"/>
          <w:color w:val="auto"/>
          <w:kern w:val="2"/>
          <w:sz w:val="24"/>
          <w:szCs w:val="24"/>
          <w:highlight w:val="none"/>
          <w:lang w:val="en-US" w:eastAsia="zh-CN" w:bidi="ar-SA"/>
        </w:rPr>
        <w:t>t/a。</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color w:val="auto"/>
          <w:sz w:val="24"/>
          <w:szCs w:val="24"/>
        </w:rPr>
        <w:t>无组织</w:t>
      </w:r>
      <w:r>
        <w:rPr>
          <w:rFonts w:hint="eastAsia"/>
          <w:color w:val="auto"/>
          <w:sz w:val="24"/>
          <w:szCs w:val="24"/>
        </w:rPr>
        <w:t>VOCs</w:t>
      </w:r>
      <w:r>
        <w:rPr>
          <w:color w:val="auto"/>
          <w:sz w:val="24"/>
          <w:szCs w:val="24"/>
        </w:rPr>
        <w:t>小时浓度最高为0.</w:t>
      </w:r>
      <w:r>
        <w:rPr>
          <w:rFonts w:hint="eastAsia"/>
          <w:color w:val="auto"/>
          <w:sz w:val="24"/>
          <w:szCs w:val="24"/>
        </w:rPr>
        <w:t>33</w:t>
      </w:r>
      <w:r>
        <w:rPr>
          <w:color w:val="auto"/>
          <w:sz w:val="24"/>
          <w:szCs w:val="24"/>
        </w:rPr>
        <w:t>mg/m</w:t>
      </w:r>
      <w:r>
        <w:rPr>
          <w:color w:val="auto"/>
          <w:sz w:val="24"/>
          <w:szCs w:val="24"/>
          <w:vertAlign w:val="superscript"/>
        </w:rPr>
        <w:t>3</w:t>
      </w:r>
      <w:r>
        <w:rPr>
          <w:color w:val="auto"/>
          <w:sz w:val="24"/>
          <w:szCs w:val="24"/>
        </w:rPr>
        <w:t>，满足《挥发性有机物排放标准 第7部分：其他行业》表2限值</w:t>
      </w:r>
      <w:r>
        <w:rPr>
          <w:rFonts w:hint="eastAsia"/>
          <w:color w:val="auto"/>
          <w:sz w:val="24"/>
          <w:szCs w:val="24"/>
        </w:rPr>
        <w:t>。</w:t>
      </w:r>
      <w:r>
        <w:rPr>
          <w:color w:val="auto"/>
          <w:sz w:val="24"/>
          <w:szCs w:val="24"/>
        </w:rPr>
        <w:t>无组织颗粒物小时浓度最高为0.</w:t>
      </w:r>
      <w:r>
        <w:rPr>
          <w:rFonts w:hint="eastAsia"/>
          <w:color w:val="auto"/>
          <w:sz w:val="24"/>
          <w:szCs w:val="24"/>
        </w:rPr>
        <w:t>207</w:t>
      </w:r>
      <w:r>
        <w:rPr>
          <w:color w:val="auto"/>
          <w:sz w:val="24"/>
          <w:szCs w:val="24"/>
        </w:rPr>
        <w:t>mg/m</w:t>
      </w:r>
      <w:r>
        <w:rPr>
          <w:color w:val="auto"/>
          <w:sz w:val="24"/>
          <w:szCs w:val="24"/>
          <w:vertAlign w:val="superscript"/>
        </w:rPr>
        <w:t>3</w:t>
      </w:r>
      <w:r>
        <w:rPr>
          <w:color w:val="auto"/>
          <w:sz w:val="24"/>
          <w:szCs w:val="24"/>
        </w:rPr>
        <w:t>，满足《大气污染物综合排放标准》表2中颗粒物浓度限值</w:t>
      </w:r>
      <w:r>
        <w:rPr>
          <w:rFonts w:hint="default" w:ascii="Times New Roman" w:hAnsi="Times New Roman" w:eastAsia="宋体" w:cs="Times New Roman"/>
          <w:color w:val="auto"/>
          <w:sz w:val="24"/>
          <w:szCs w:val="24"/>
          <w:highlight w:val="none"/>
          <w:lang w:val="en-US" w:eastAsia="zh-CN"/>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噪声</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 xml:space="preserve"> 验收监测期间，监测点位昼间噪声在54.0dB(A)-58.4dB(A)之间，监测点位夜间噪声在44.5dB(A)-48.8dB(A)之间，符合《工业企业厂界环境噪声排放标准》（GB12348－2008）中的2类标准限值。</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固体废物</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同上文三、（四）</w:t>
      </w:r>
      <w:r>
        <w:rPr>
          <w:rFonts w:hint="default" w:ascii="Times New Roman" w:hAnsi="Times New Roman" w:eastAsia="宋体" w:cs="Times New Roman"/>
          <w:color w:val="auto"/>
          <w:sz w:val="24"/>
          <w:szCs w:val="24"/>
          <w:highlight w:val="none"/>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（二）环境管理调查</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东阿县旭升钢球有限公司</w:t>
      </w:r>
      <w:r>
        <w:rPr>
          <w:rFonts w:hint="default" w:ascii="Times New Roman" w:hAnsi="Times New Roman" w:eastAsia="宋体" w:cs="Times New Roman"/>
          <w:color w:val="auto"/>
          <w:sz w:val="24"/>
          <w:szCs w:val="24"/>
          <w:highlight w:val="none"/>
        </w:rPr>
        <w:t>制定了《</w:t>
      </w:r>
      <w:r>
        <w:rPr>
          <w:rFonts w:hint="default" w:ascii="Times New Roman" w:hAnsi="Times New Roman" w:eastAsia="宋体" w:cs="Times New Roman"/>
          <w:color w:val="auto"/>
          <w:sz w:val="24"/>
          <w:szCs w:val="24"/>
          <w:highlight w:val="none"/>
          <w:lang w:eastAsia="zh-CN"/>
        </w:rPr>
        <w:t>东阿县旭升钢球有限公司</w:t>
      </w:r>
      <w:r>
        <w:rPr>
          <w:rFonts w:hint="default" w:ascii="Times New Roman" w:hAnsi="Times New Roman" w:eastAsia="宋体" w:cs="Times New Roman"/>
          <w:color w:val="auto"/>
          <w:sz w:val="24"/>
          <w:szCs w:val="24"/>
          <w:highlight w:val="none"/>
        </w:rPr>
        <w:t>环保管理制度》</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并设立了相关机构。日常工作由</w:t>
      </w:r>
      <w:r>
        <w:rPr>
          <w:rFonts w:hint="default" w:ascii="Times New Roman" w:hAnsi="Times New Roman" w:eastAsia="宋体" w:cs="Times New Roman"/>
          <w:color w:val="auto"/>
          <w:sz w:val="24"/>
          <w:szCs w:val="24"/>
          <w:highlight w:val="none"/>
          <w:lang w:eastAsia="zh-CN"/>
        </w:rPr>
        <w:t>办公室</w:t>
      </w:r>
      <w:r>
        <w:rPr>
          <w:rFonts w:hint="default" w:ascii="Times New Roman" w:hAnsi="Times New Roman" w:eastAsia="宋体" w:cs="Times New Roman"/>
          <w:color w:val="auto"/>
          <w:sz w:val="24"/>
          <w:szCs w:val="24"/>
          <w:highlight w:val="none"/>
        </w:rPr>
        <w:t>管理，其主要职责是：行使公司环保工作的计划、组织、指挥、协调、检查和考核管理职能，日常一切工作须对公司负责。</w:t>
      </w:r>
    </w:p>
    <w:p>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br w:type="page"/>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五、</w:t>
      </w:r>
      <w:r>
        <w:rPr>
          <w:rFonts w:hint="eastAsia" w:ascii="Times New Roman" w:hAnsi="Times New Roman" w:eastAsia="宋体" w:cs="Times New Roman"/>
          <w:color w:val="auto"/>
          <w:sz w:val="24"/>
          <w:szCs w:val="24"/>
          <w:highlight w:val="none"/>
          <w:lang w:eastAsia="zh-CN"/>
        </w:rPr>
        <w:t>现场问题及整改内容</w:t>
      </w:r>
      <w:r>
        <w:rPr>
          <w:rFonts w:hint="default" w:ascii="Times New Roman" w:hAnsi="Times New Roman" w:eastAsia="宋体" w:cs="Times New Roman"/>
          <w:color w:val="auto"/>
          <w:sz w:val="24"/>
          <w:szCs w:val="24"/>
          <w:highlight w:val="none"/>
          <w:lang w:eastAsia="zh-CN"/>
        </w:rPr>
        <w:t>：</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4090"/>
        <w:gridCol w:w="492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4" w:type="pct"/>
          </w:tcPr>
          <w:p>
            <w:pPr>
              <w:spacing w:line="240" w:lineRule="auto"/>
              <w:jc w:val="center"/>
              <w:rPr>
                <w:rFonts w:hint="default" w:ascii="Times New Roman" w:hAnsi="Times New Roman" w:cs="Times New Roman"/>
                <w:b/>
                <w:bCs/>
              </w:rPr>
            </w:pPr>
            <w:r>
              <w:rPr>
                <w:rFonts w:hint="default" w:ascii="Times New Roman" w:hAnsi="Times New Roman" w:cs="Times New Roman"/>
                <w:b/>
                <w:bCs/>
              </w:rPr>
              <w:t>项次</w:t>
            </w:r>
          </w:p>
        </w:tc>
        <w:tc>
          <w:tcPr>
            <w:tcW w:w="2075" w:type="pct"/>
          </w:tcPr>
          <w:p>
            <w:pPr>
              <w:spacing w:line="240" w:lineRule="auto"/>
              <w:jc w:val="center"/>
              <w:rPr>
                <w:rFonts w:hint="default" w:ascii="Times New Roman" w:hAnsi="Times New Roman" w:cs="Times New Roman"/>
                <w:b/>
                <w:bCs/>
              </w:rPr>
            </w:pPr>
            <w:r>
              <w:rPr>
                <w:rFonts w:hint="default" w:ascii="Times New Roman" w:hAnsi="Times New Roman" w:cs="Times New Roman"/>
                <w:b/>
                <w:bCs/>
              </w:rPr>
              <w:t>主 要 现 象</w:t>
            </w:r>
          </w:p>
        </w:tc>
        <w:tc>
          <w:tcPr>
            <w:tcW w:w="2500" w:type="pct"/>
          </w:tcPr>
          <w:p>
            <w:pPr>
              <w:spacing w:line="240" w:lineRule="auto"/>
              <w:jc w:val="center"/>
              <w:rPr>
                <w:rFonts w:hint="default" w:ascii="Times New Roman" w:hAnsi="Times New Roman" w:cs="Times New Roman"/>
                <w:b/>
                <w:bCs/>
              </w:rPr>
            </w:pPr>
            <w:r>
              <w:rPr>
                <w:rFonts w:hint="default" w:ascii="Times New Roman" w:hAnsi="Times New Roman" w:cs="Times New Roman"/>
                <w:b/>
                <w:bCs/>
              </w:rPr>
              <w:t>整 改 要 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24" w:type="pct"/>
            <w:vAlign w:val="center"/>
          </w:tcPr>
          <w:p>
            <w:pPr>
              <w:jc w:val="center"/>
              <w:rPr>
                <w:rFonts w:hint="default" w:ascii="Times New Roman" w:hAnsi="Times New Roman" w:cs="Times New Roman"/>
              </w:rPr>
            </w:pPr>
            <w:r>
              <w:rPr>
                <w:rFonts w:hint="default" w:ascii="Times New Roman" w:hAnsi="Times New Roman" w:cs="Times New Roman"/>
              </w:rPr>
              <w:t>清洁</w:t>
            </w:r>
          </w:p>
          <w:p>
            <w:pPr>
              <w:jc w:val="center"/>
              <w:rPr>
                <w:rFonts w:hint="default" w:ascii="Times New Roman" w:hAnsi="Times New Roman" w:cs="Times New Roman"/>
              </w:rPr>
            </w:pPr>
            <w:r>
              <w:rPr>
                <w:rFonts w:hint="default" w:ascii="Times New Roman" w:hAnsi="Times New Roman" w:cs="Times New Roman"/>
              </w:rPr>
              <w:t>生产</w:t>
            </w:r>
          </w:p>
        </w:tc>
        <w:tc>
          <w:tcPr>
            <w:tcW w:w="2075" w:type="pct"/>
            <w:vAlign w:val="center"/>
          </w:tcPr>
          <w:p>
            <w:pPr>
              <w:rPr>
                <w:rFonts w:hint="default" w:ascii="Times New Roman" w:hAnsi="Times New Roman" w:cs="Times New Roman"/>
              </w:rPr>
            </w:pPr>
            <w:r>
              <w:rPr>
                <w:rFonts w:hint="default" w:ascii="Times New Roman" w:hAnsi="Times New Roman" w:cs="Times New Roman"/>
              </w:rPr>
              <w:t>生产区缺乏规划，功能分区不清；矿物油渍、泥尘等缺乏清洁维保等管理措施，总体上有较明显欠缺；车间周边绿化/硬化不足；废水池无遮蔽；仓储有未硬化区域，存在漏渗隐患。</w:t>
            </w:r>
          </w:p>
        </w:tc>
        <w:tc>
          <w:tcPr>
            <w:tcW w:w="2500" w:type="pct"/>
            <w:vAlign w:val="center"/>
          </w:tcPr>
          <w:p>
            <w:pPr>
              <w:rPr>
                <w:rFonts w:hint="default" w:ascii="Times New Roman" w:hAnsi="Times New Roman" w:cs="Times New Roman"/>
              </w:rPr>
            </w:pPr>
            <w:r>
              <w:rPr>
                <w:rFonts w:hint="default" w:ascii="Times New Roman" w:hAnsi="Times New Roman" w:cs="Times New Roman"/>
              </w:rPr>
              <w:t>明晰分区，优化工序衔接；加强清洁维保等管理；提高硬化/绿化水平，杜绝土壤污染隐患；废水池考虑提升管控条件；车间西段北侧仓储区完善硬化防渗地坪。</w:t>
            </w:r>
          </w:p>
          <w:p>
            <w:pPr>
              <w:rPr>
                <w:rFonts w:hint="default" w:ascii="Times New Roman" w:hAnsi="Times New Roman" w:cs="Times New Roman"/>
              </w:rPr>
            </w:pPr>
            <w:r>
              <w:rPr>
                <w:rFonts w:hint="default" w:ascii="Times New Roman" w:hAnsi="Times New Roman" w:cs="Times New Roman"/>
              </w:rPr>
              <w:t>不得随意焚烧处置废杂物，特别是有机废物。</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24" w:type="pct"/>
            <w:vAlign w:val="center"/>
          </w:tcPr>
          <w:p>
            <w:pPr>
              <w:jc w:val="center"/>
              <w:rPr>
                <w:rFonts w:hint="default" w:ascii="Times New Roman" w:hAnsi="Times New Roman" w:cs="Times New Roman"/>
              </w:rPr>
            </w:pPr>
            <w:r>
              <w:rPr>
                <w:rFonts w:hint="default" w:ascii="Times New Roman" w:hAnsi="Times New Roman" w:cs="Times New Roman"/>
              </w:rPr>
              <w:t>油污</w:t>
            </w:r>
          </w:p>
        </w:tc>
        <w:tc>
          <w:tcPr>
            <w:tcW w:w="2075" w:type="pct"/>
            <w:vAlign w:val="center"/>
          </w:tcPr>
          <w:p>
            <w:pPr>
              <w:rPr>
                <w:rFonts w:hint="default" w:ascii="Times New Roman" w:hAnsi="Times New Roman" w:cs="Times New Roman"/>
              </w:rPr>
            </w:pPr>
            <w:r>
              <w:rPr>
                <w:rFonts w:hint="default" w:ascii="Times New Roman" w:hAnsi="Times New Roman" w:cs="Times New Roman"/>
              </w:rPr>
              <w:t>车间各类工位矿物油致床体、地坪等浸/污染严重；矿物油管理随意、储放不规范；大部分机加工床位控油（液）缺乏工程设置。</w:t>
            </w:r>
          </w:p>
        </w:tc>
        <w:tc>
          <w:tcPr>
            <w:tcW w:w="2500" w:type="pct"/>
            <w:vAlign w:val="center"/>
          </w:tcPr>
          <w:p>
            <w:pPr>
              <w:rPr>
                <w:rFonts w:hint="default" w:ascii="Times New Roman" w:hAnsi="Times New Roman" w:cs="Times New Roman"/>
              </w:rPr>
            </w:pPr>
            <w:r>
              <w:rPr>
                <w:rFonts w:hint="default" w:ascii="Times New Roman" w:hAnsi="Times New Roman" w:cs="Times New Roman"/>
              </w:rPr>
              <w:t>建设托盘收束等源头截控，及时擦拭床体浸染，及时清洁，控制油污浸散范围。</w:t>
            </w:r>
          </w:p>
          <w:p>
            <w:pPr>
              <w:rPr>
                <w:rFonts w:hint="default" w:ascii="Times New Roman" w:hAnsi="Times New Roman" w:cs="Times New Roman"/>
              </w:rPr>
            </w:pPr>
            <w:r>
              <w:rPr>
                <w:rFonts w:hint="default" w:ascii="Times New Roman" w:hAnsi="Times New Roman" w:cs="Times New Roman"/>
              </w:rPr>
              <w:t>加强油品管理，专区存放，随用随领。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24" w:type="pct"/>
            <w:vAlign w:val="center"/>
          </w:tcPr>
          <w:p>
            <w:pPr>
              <w:jc w:val="center"/>
              <w:rPr>
                <w:rFonts w:hint="default" w:ascii="Times New Roman" w:hAnsi="Times New Roman" w:cs="Times New Roman"/>
              </w:rPr>
            </w:pPr>
            <w:r>
              <w:rPr>
                <w:rFonts w:hint="default" w:ascii="Times New Roman" w:hAnsi="Times New Roman" w:cs="Times New Roman"/>
              </w:rPr>
              <w:t>固废</w:t>
            </w:r>
          </w:p>
          <w:p>
            <w:pPr>
              <w:jc w:val="center"/>
              <w:rPr>
                <w:rFonts w:hint="default" w:ascii="Times New Roman" w:hAnsi="Times New Roman" w:cs="Times New Roman"/>
              </w:rPr>
            </w:pPr>
            <w:r>
              <w:rPr>
                <w:rFonts w:hint="default" w:ascii="Times New Roman" w:hAnsi="Times New Roman" w:cs="Times New Roman"/>
              </w:rPr>
              <w:t>管理</w:t>
            </w:r>
          </w:p>
        </w:tc>
        <w:tc>
          <w:tcPr>
            <w:tcW w:w="2075" w:type="pct"/>
            <w:vAlign w:val="center"/>
          </w:tcPr>
          <w:p>
            <w:pPr>
              <w:rPr>
                <w:rFonts w:hint="default" w:ascii="Times New Roman" w:hAnsi="Times New Roman" w:cs="Times New Roman"/>
              </w:rPr>
            </w:pPr>
            <w:r>
              <w:rPr>
                <w:rFonts w:hint="default" w:ascii="Times New Roman" w:hAnsi="Times New Roman" w:cs="Times New Roman"/>
              </w:rPr>
              <w:t>部分含矿物油设备零部件露天搁置，未合理建设暂储场所，不符管理要求。</w:t>
            </w:r>
          </w:p>
        </w:tc>
        <w:tc>
          <w:tcPr>
            <w:tcW w:w="2500" w:type="pct"/>
          </w:tcPr>
          <w:p>
            <w:pPr>
              <w:spacing w:line="360" w:lineRule="exact"/>
              <w:jc w:val="left"/>
              <w:rPr>
                <w:rFonts w:hint="default" w:ascii="Times New Roman" w:hAnsi="Times New Roman" w:cs="Times New Roman"/>
              </w:rPr>
            </w:pPr>
            <w:r>
              <w:rPr>
                <w:rFonts w:hint="default" w:ascii="Times New Roman" w:hAnsi="Times New Roman" w:eastAsia="宋体" w:cs="Times New Roman"/>
              </w:rPr>
              <w:t>固废不得露天搁置，应进棚、分区、防渗；化学（危险）品加强管理，不得失控</w:t>
            </w:r>
            <w:r>
              <w:rPr>
                <w:rFonts w:hint="default" w:ascii="Times New Roman" w:hAnsi="Times New Roman" w:cs="Times New Roman"/>
              </w:rPr>
              <w:t>。</w:t>
            </w:r>
          </w:p>
          <w:p>
            <w:pPr>
              <w:adjustRightInd w:val="0"/>
              <w:snapToGrid w:val="0"/>
              <w:spacing w:line="360" w:lineRule="exact"/>
              <w:rPr>
                <w:rFonts w:hint="default" w:ascii="Times New Roman" w:hAnsi="Times New Roman" w:cs="Times New Roman"/>
              </w:rPr>
            </w:pPr>
            <w:r>
              <w:rPr>
                <w:rFonts w:hint="default" w:ascii="Times New Roman" w:hAnsi="Times New Roman" w:cs="Times New Roman"/>
              </w:rPr>
              <w:t>*管理：</w:t>
            </w:r>
            <w:r>
              <w:rPr>
                <w:rFonts w:hint="default" w:ascii="Times New Roman" w:hAnsi="Times New Roman" w:eastAsia="宋体" w:cs="Times New Roman"/>
              </w:rPr>
              <w:t>按照《一般工业固体废物贮存、处置场污染控制标准》(GB18599 -2001)及其修改单标准要求，对产生的固体废物进行贮存和处置。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24" w:type="pct"/>
            <w:vAlign w:val="center"/>
          </w:tcPr>
          <w:p>
            <w:pPr>
              <w:jc w:val="center"/>
              <w:rPr>
                <w:rFonts w:hint="default" w:ascii="Times New Roman" w:hAnsi="Times New Roman" w:cs="Times New Roman"/>
              </w:rPr>
            </w:pPr>
            <w:r>
              <w:rPr>
                <w:rFonts w:hint="default" w:ascii="Times New Roman" w:hAnsi="Times New Roman" w:cs="Times New Roman"/>
              </w:rPr>
              <w:t>综合</w:t>
            </w:r>
          </w:p>
          <w:p>
            <w:pPr>
              <w:jc w:val="center"/>
              <w:rPr>
                <w:rFonts w:hint="default" w:ascii="Times New Roman" w:hAnsi="Times New Roman" w:cs="Times New Roman"/>
              </w:rPr>
            </w:pPr>
            <w:r>
              <w:rPr>
                <w:rFonts w:hint="default" w:ascii="Times New Roman" w:hAnsi="Times New Roman" w:cs="Times New Roman"/>
              </w:rPr>
              <w:t>管理</w:t>
            </w:r>
          </w:p>
        </w:tc>
        <w:tc>
          <w:tcPr>
            <w:tcW w:w="2075" w:type="pct"/>
            <w:vAlign w:val="center"/>
          </w:tcPr>
          <w:p>
            <w:pPr>
              <w:rPr>
                <w:rFonts w:hint="default" w:ascii="Times New Roman" w:hAnsi="Times New Roman" w:cs="Times New Roman"/>
              </w:rPr>
            </w:pPr>
            <w:r>
              <w:rPr>
                <w:rFonts w:hint="default" w:ascii="Times New Roman" w:hAnsi="Times New Roman" w:cs="Times New Roman"/>
              </w:rPr>
              <w:t>管理制度化、系统化，环保措施精细化</w:t>
            </w:r>
          </w:p>
        </w:tc>
        <w:tc>
          <w:tcPr>
            <w:tcW w:w="2500" w:type="pct"/>
            <w:vAlign w:val="center"/>
          </w:tcPr>
          <w:p>
            <w:pPr>
              <w:jc w:val="left"/>
              <w:rPr>
                <w:rFonts w:hint="default" w:ascii="Times New Roman" w:hAnsi="Times New Roman" w:cs="Times New Roman"/>
              </w:rPr>
            </w:pPr>
            <w:r>
              <w:rPr>
                <w:rFonts w:hint="default" w:ascii="Times New Roman" w:hAnsi="Times New Roman" w:cs="Times New Roman"/>
              </w:rPr>
              <w:t>按环保需求、建立相应管理制度；充实环保运行台账。</w:t>
            </w:r>
          </w:p>
          <w:p>
            <w:pPr>
              <w:jc w:val="left"/>
              <w:rPr>
                <w:rFonts w:hint="default" w:ascii="Times New Roman" w:hAnsi="Times New Roman" w:cs="Times New Roman"/>
              </w:rPr>
            </w:pPr>
            <w:r>
              <w:rPr>
                <w:rFonts w:hint="default" w:ascii="Times New Roman" w:hAnsi="Times New Roman" w:cs="Times New Roman"/>
                <w:sz w:val="24"/>
                <w:szCs w:val="24"/>
              </w:rPr>
              <w:t>*</w:t>
            </w:r>
            <w:r>
              <w:rPr>
                <w:rFonts w:hint="default" w:ascii="Times New Roman" w:hAnsi="Times New Roman" w:cs="Times New Roman"/>
              </w:rPr>
              <w:t>台账建立，参考HJ944—2018。</w:t>
            </w:r>
          </w:p>
        </w:tc>
      </w:tr>
    </w:tbl>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六</w:t>
      </w:r>
      <w:r>
        <w:rPr>
          <w:rFonts w:hint="default" w:ascii="Times New Roman" w:hAnsi="Times New Roman" w:eastAsia="宋体" w:cs="Times New Roman"/>
          <w:color w:val="auto"/>
          <w:sz w:val="24"/>
          <w:szCs w:val="24"/>
          <w:highlight w:val="none"/>
        </w:rPr>
        <w:t>、验收结论</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 xml:space="preserve">   </w:t>
      </w:r>
    </w:p>
    <w:p>
      <w:pPr>
        <w:spacing w:line="360" w:lineRule="auto"/>
        <w:jc w:val="righ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eastAsia="zh-CN"/>
        </w:rPr>
        <w:t>东阿县旭升钢球有限公司</w:t>
      </w:r>
      <w:r>
        <w:rPr>
          <w:rFonts w:hint="default" w:ascii="Times New Roman" w:hAnsi="Times New Roman" w:eastAsia="宋体" w:cs="Times New Roman"/>
          <w:b/>
          <w:bCs/>
          <w:color w:val="auto"/>
          <w:sz w:val="24"/>
          <w:szCs w:val="24"/>
        </w:rPr>
        <w:t>验收组</w:t>
      </w:r>
    </w:p>
    <w:p>
      <w:pPr>
        <w:spacing w:line="360" w:lineRule="auto"/>
        <w:jc w:val="right"/>
        <w:rPr>
          <w:rFonts w:hint="default" w:ascii="Times New Roman" w:hAnsi="Times New Roman" w:eastAsia="宋体" w:cs="Times New Roman"/>
          <w:color w:val="auto"/>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20</w:t>
      </w:r>
      <w:r>
        <w:rPr>
          <w:rFonts w:hint="eastAsia" w:cs="Times New Roman"/>
          <w:b/>
          <w:bCs/>
          <w:color w:val="auto"/>
          <w:sz w:val="24"/>
          <w:szCs w:val="24"/>
          <w:highlight w:val="none"/>
          <w:lang w:val="en-US" w:eastAsia="zh-CN"/>
        </w:rPr>
        <w:t>20</w:t>
      </w:r>
      <w:r>
        <w:rPr>
          <w:rFonts w:hint="default" w:ascii="Times New Roman" w:hAnsi="Times New Roman" w:eastAsia="宋体" w:cs="Times New Roman"/>
          <w:b/>
          <w:bCs/>
          <w:color w:val="auto"/>
          <w:sz w:val="24"/>
          <w:szCs w:val="24"/>
          <w:highlight w:val="none"/>
        </w:rPr>
        <w:t>年</w:t>
      </w:r>
      <w:r>
        <w:rPr>
          <w:rFonts w:hint="eastAsia" w:cs="Times New Roman"/>
          <w:b/>
          <w:bCs/>
          <w:color w:val="auto"/>
          <w:sz w:val="24"/>
          <w:szCs w:val="24"/>
          <w:highlight w:val="none"/>
          <w:lang w:val="en-US" w:eastAsia="zh-CN"/>
        </w:rPr>
        <w:t>8</w:t>
      </w:r>
      <w:r>
        <w:rPr>
          <w:rFonts w:hint="default" w:ascii="Times New Roman" w:hAnsi="Times New Roman" w:eastAsia="宋体" w:cs="Times New Roman"/>
          <w:b/>
          <w:bCs/>
          <w:color w:val="auto"/>
          <w:sz w:val="24"/>
          <w:szCs w:val="24"/>
          <w:highlight w:val="none"/>
        </w:rPr>
        <w:t>月</w:t>
      </w:r>
      <w:r>
        <w:rPr>
          <w:rFonts w:hint="eastAsia" w:cs="Times New Roman"/>
          <w:b/>
          <w:bCs/>
          <w:color w:val="auto"/>
          <w:sz w:val="24"/>
          <w:szCs w:val="24"/>
          <w:highlight w:val="none"/>
          <w:lang w:val="en-US" w:eastAsia="zh-CN"/>
        </w:rPr>
        <w:t>16</w:t>
      </w:r>
      <w:r>
        <w:rPr>
          <w:rFonts w:hint="default" w:ascii="Times New Roman" w:hAnsi="Times New Roman" w:eastAsia="宋体" w:cs="Times New Roman"/>
          <w:b/>
          <w:bCs/>
          <w:color w:val="auto"/>
          <w:sz w:val="24"/>
          <w:szCs w:val="24"/>
          <w:highlight w:val="none"/>
        </w:rPr>
        <w:t>日</w:t>
      </w:r>
      <w:r>
        <w:rPr>
          <w:rFonts w:hint="default" w:ascii="Times New Roman" w:hAnsi="Times New Roman" w:eastAsia="宋体" w:cs="Times New Roman"/>
          <w:color w:val="auto"/>
          <w:sz w:val="28"/>
          <w:szCs w:val="28"/>
          <w:highlight w:val="none"/>
        </w:rPr>
        <w:t xml:space="preserve"> </w:t>
      </w:r>
    </w:p>
    <w:sectPr>
      <w:footerReference r:id="rId3" w:type="default"/>
      <w:pgSz w:w="11906" w:h="16838"/>
      <w:pgMar w:top="1417" w:right="1134" w:bottom="1417" w:left="1134"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9356A"/>
    <w:rsid w:val="00FA719E"/>
    <w:rsid w:val="02831D39"/>
    <w:rsid w:val="030F5404"/>
    <w:rsid w:val="03D42667"/>
    <w:rsid w:val="181F582C"/>
    <w:rsid w:val="18D05E89"/>
    <w:rsid w:val="194536F7"/>
    <w:rsid w:val="19F5368E"/>
    <w:rsid w:val="1AB228FE"/>
    <w:rsid w:val="1D920851"/>
    <w:rsid w:val="2102413F"/>
    <w:rsid w:val="27420539"/>
    <w:rsid w:val="2A2225DC"/>
    <w:rsid w:val="394E218A"/>
    <w:rsid w:val="3AA3253F"/>
    <w:rsid w:val="3C7A25BB"/>
    <w:rsid w:val="3CBC00FB"/>
    <w:rsid w:val="3D5D76D0"/>
    <w:rsid w:val="3D882091"/>
    <w:rsid w:val="3E1C082C"/>
    <w:rsid w:val="42D66A94"/>
    <w:rsid w:val="440B2C50"/>
    <w:rsid w:val="493326E6"/>
    <w:rsid w:val="510D59DA"/>
    <w:rsid w:val="51B711D3"/>
    <w:rsid w:val="56FF753E"/>
    <w:rsid w:val="592F6FA6"/>
    <w:rsid w:val="5F102768"/>
    <w:rsid w:val="5FEF6218"/>
    <w:rsid w:val="639760D3"/>
    <w:rsid w:val="67E97C88"/>
    <w:rsid w:val="6C634D6B"/>
    <w:rsid w:val="6D4729D1"/>
    <w:rsid w:val="77930543"/>
    <w:rsid w:val="78F400A0"/>
    <w:rsid w:val="79322C88"/>
    <w:rsid w:val="7B27245D"/>
    <w:rsid w:val="7C6E1004"/>
    <w:rsid w:val="7F290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1">
    <w:name w:val="List Paragraph"/>
    <w:basedOn w:val="1"/>
    <w:qFormat/>
    <w:uiPriority w:val="99"/>
    <w:pPr>
      <w:ind w:firstLine="420" w:firstLineChars="200"/>
    </w:pPr>
  </w:style>
  <w:style w:type="paragraph" w:customStyle="1" w:styleId="12">
    <w:name w:val="报告表正文"/>
    <w:basedOn w:val="1"/>
    <w:qFormat/>
    <w:uiPriority w:val="0"/>
    <w:pPr>
      <w:tabs>
        <w:tab w:val="left" w:pos="7560"/>
      </w:tabs>
      <w:adjustRightInd w:val="0"/>
      <w:spacing w:line="360" w:lineRule="auto"/>
      <w:ind w:firstLine="480" w:firstLineChars="200"/>
    </w:pPr>
    <w:rPr>
      <w:bCs/>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2020-09-08T01:53:19Z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