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right="-1462" w:rightChars="-696"/>
        <w:rPr>
          <w:sz w:val="24"/>
        </w:rPr>
      </w:pPr>
    </w:p>
    <w:p>
      <w:pPr>
        <w:ind w:right="-1462" w:rightChars="-696" w:firstLine="843" w:firstLineChars="300"/>
        <w:rPr>
          <w:b/>
          <w:bCs/>
          <w:sz w:val="28"/>
          <w:szCs w:val="28"/>
        </w:rPr>
      </w:pPr>
      <w:r>
        <w:rPr>
          <w:b/>
          <w:bCs/>
          <w:sz w:val="28"/>
          <w:szCs w:val="28"/>
        </w:rPr>
        <w:t>莘县韵琪五金建材有限公司年生产8000吨马镫、钉子（不含8.8</w:t>
      </w:r>
    </w:p>
    <w:p>
      <w:pPr>
        <w:ind w:right="-1462" w:rightChars="-696" w:firstLine="843" w:firstLineChars="300"/>
        <w:rPr>
          <w:b/>
          <w:bCs/>
          <w:sz w:val="28"/>
          <w:szCs w:val="28"/>
        </w:rPr>
      </w:pPr>
      <w:r>
        <w:rPr>
          <w:b/>
          <w:bCs/>
          <w:sz w:val="28"/>
          <w:szCs w:val="28"/>
        </w:rPr>
        <w:t>级以下普通低档标准紧固件制造）、网片项目（一期2000吨）</w:t>
      </w:r>
    </w:p>
    <w:p>
      <w:pPr>
        <w:ind w:right="-1462" w:rightChars="-696" w:firstLine="1265" w:firstLineChars="450"/>
        <w:rPr>
          <w:rFonts w:eastAsiaTheme="majorEastAsia"/>
          <w:b/>
          <w:sz w:val="28"/>
          <w:szCs w:val="28"/>
        </w:rPr>
      </w:pPr>
      <w:r>
        <w:rPr>
          <w:rFonts w:eastAsiaTheme="majorEastAsia"/>
          <w:b/>
          <w:sz w:val="28"/>
          <w:szCs w:val="28"/>
        </w:rPr>
        <w:t>竣工环境保护验收现场检查及验收工作组验收意见</w:t>
      </w:r>
    </w:p>
    <w:p>
      <w:pPr>
        <w:spacing w:line="360" w:lineRule="auto"/>
        <w:ind w:right="-1462" w:rightChars="-696"/>
        <w:rPr>
          <w:rFonts w:eastAsiaTheme="minorEastAsia"/>
          <w:sz w:val="24"/>
        </w:rPr>
      </w:pPr>
      <w:r>
        <w:rPr>
          <w:rFonts w:eastAsia="楷体_GB2312"/>
          <w:sz w:val="28"/>
          <w:szCs w:val="28"/>
        </w:rPr>
        <w:t xml:space="preserve">  </w:t>
      </w:r>
      <w:r>
        <w:rPr>
          <w:rFonts w:eastAsia="楷体"/>
          <w:sz w:val="28"/>
          <w:szCs w:val="28"/>
        </w:rPr>
        <w:t xml:space="preserve"> </w:t>
      </w:r>
      <w:r>
        <w:rPr>
          <w:rFonts w:eastAsiaTheme="minorEastAsia"/>
          <w:sz w:val="28"/>
          <w:szCs w:val="28"/>
        </w:rPr>
        <w:t xml:space="preserve">  </w:t>
      </w:r>
      <w:r>
        <w:rPr>
          <w:rFonts w:eastAsiaTheme="minorEastAsia"/>
          <w:sz w:val="24"/>
        </w:rPr>
        <w:t>2020年11月1日，莘县韵琪五金建材有限公司组织召开公司年生产8000吨马镫、</w:t>
      </w:r>
    </w:p>
    <w:p>
      <w:pPr>
        <w:spacing w:line="360" w:lineRule="auto"/>
        <w:ind w:right="-1462" w:rightChars="-696" w:firstLine="240" w:firstLineChars="100"/>
        <w:rPr>
          <w:rFonts w:eastAsiaTheme="minorEastAsia"/>
          <w:sz w:val="24"/>
        </w:rPr>
      </w:pPr>
      <w:r>
        <w:rPr>
          <w:rFonts w:eastAsiaTheme="minorEastAsia"/>
          <w:sz w:val="24"/>
        </w:rPr>
        <w:t>钉子（不含8.8级以下普通低档标准</w:t>
      </w:r>
      <w:r>
        <w:rPr>
          <w:rFonts w:eastAsiaTheme="minorEastAsia"/>
          <w:bCs/>
          <w:sz w:val="24"/>
        </w:rPr>
        <w:t>紧固件制造）、网片项目</w:t>
      </w:r>
      <w:r>
        <w:rPr>
          <w:rFonts w:eastAsiaTheme="minorEastAsia"/>
          <w:sz w:val="24"/>
        </w:rPr>
        <w:t>（一期2000吨网片）竣</w:t>
      </w:r>
    </w:p>
    <w:p>
      <w:pPr>
        <w:spacing w:line="360" w:lineRule="auto"/>
        <w:ind w:right="-1462" w:rightChars="-696" w:firstLine="240" w:firstLineChars="100"/>
        <w:rPr>
          <w:rFonts w:eastAsiaTheme="minorEastAsia"/>
          <w:sz w:val="24"/>
        </w:rPr>
      </w:pPr>
      <w:r>
        <w:rPr>
          <w:rFonts w:eastAsiaTheme="minorEastAsia"/>
          <w:sz w:val="24"/>
        </w:rPr>
        <w:t>工环境保护验收现场检查及验收会。验收工作组由工程建设单位（莘县韵琪五金建材</w:t>
      </w:r>
    </w:p>
    <w:p>
      <w:pPr>
        <w:spacing w:line="360" w:lineRule="auto"/>
        <w:ind w:right="-1462" w:rightChars="-696" w:firstLine="240" w:firstLineChars="100"/>
        <w:rPr>
          <w:rFonts w:eastAsiaTheme="minorEastAsia"/>
          <w:sz w:val="24"/>
        </w:rPr>
      </w:pPr>
      <w:r>
        <w:rPr>
          <w:rFonts w:eastAsiaTheme="minorEastAsia"/>
          <w:sz w:val="24"/>
        </w:rPr>
        <w:t>有限公司）、监测单位（山东聊和环保科技有限公司）、并特邀2名技术专家（名单附</w:t>
      </w:r>
    </w:p>
    <w:p>
      <w:pPr>
        <w:spacing w:line="360" w:lineRule="auto"/>
        <w:ind w:right="-1462" w:rightChars="-696" w:firstLine="240" w:firstLineChars="100"/>
        <w:rPr>
          <w:rFonts w:eastAsiaTheme="minorEastAsia"/>
          <w:sz w:val="24"/>
        </w:rPr>
      </w:pPr>
      <w:r>
        <w:rPr>
          <w:rFonts w:eastAsiaTheme="minorEastAsia"/>
          <w:sz w:val="24"/>
        </w:rPr>
        <w:t>后）组成。</w:t>
      </w:r>
    </w:p>
    <w:p>
      <w:pPr>
        <w:tabs>
          <w:tab w:val="left" w:pos="360"/>
        </w:tabs>
        <w:spacing w:line="360" w:lineRule="auto"/>
        <w:ind w:left="298" w:leftChars="142" w:firstLine="480" w:firstLineChars="200"/>
        <w:jc w:val="left"/>
        <w:rPr>
          <w:rFonts w:eastAsiaTheme="minorEastAsia"/>
          <w:sz w:val="24"/>
        </w:rPr>
      </w:pPr>
      <w:r>
        <w:rPr>
          <w:rFonts w:eastAsiaTheme="minorEastAsia"/>
          <w:sz w:val="24"/>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360"/>
        </w:tabs>
        <w:spacing w:line="384" w:lineRule="auto"/>
        <w:ind w:left="298" w:leftChars="142" w:firstLine="560" w:firstLineChars="200"/>
        <w:jc w:val="left"/>
        <w:rPr>
          <w:rFonts w:eastAsiaTheme="majorEastAsia"/>
          <w:sz w:val="28"/>
          <w:szCs w:val="28"/>
        </w:rPr>
      </w:pPr>
      <w:r>
        <w:rPr>
          <w:rFonts w:eastAsiaTheme="majorEastAsia"/>
          <w:sz w:val="28"/>
          <w:szCs w:val="28"/>
        </w:rPr>
        <w:t>一、工程建设基本情况</w:t>
      </w:r>
    </w:p>
    <w:p>
      <w:pPr>
        <w:tabs>
          <w:tab w:val="left" w:pos="360"/>
        </w:tabs>
        <w:spacing w:line="384" w:lineRule="auto"/>
        <w:ind w:left="298" w:leftChars="142" w:firstLine="480" w:firstLineChars="200"/>
        <w:jc w:val="left"/>
        <w:rPr>
          <w:rFonts w:eastAsiaTheme="majorEastAsia"/>
          <w:sz w:val="24"/>
        </w:rPr>
      </w:pPr>
      <w:r>
        <w:rPr>
          <w:rFonts w:eastAsiaTheme="majorEastAsia"/>
          <w:sz w:val="24"/>
        </w:rPr>
        <w:t>（1）建设地点、规模、主要建设内容</w:t>
      </w:r>
    </w:p>
    <w:p>
      <w:pPr>
        <w:tabs>
          <w:tab w:val="left" w:pos="360"/>
        </w:tabs>
        <w:spacing w:line="384" w:lineRule="auto"/>
        <w:ind w:firstLine="600" w:firstLineChars="250"/>
        <w:jc w:val="left"/>
        <w:rPr>
          <w:rFonts w:hint="eastAsia" w:hAnsi="宋体"/>
          <w:sz w:val="24"/>
        </w:rPr>
      </w:pPr>
      <w:r>
        <w:rPr>
          <w:rFonts w:hAnsi="宋体"/>
          <w:sz w:val="24"/>
        </w:rPr>
        <w:t>莘县韵琪五金建材有限公司法人代表</w:t>
      </w:r>
      <w:r>
        <w:rPr>
          <w:sz w:val="24"/>
        </w:rPr>
        <w:t>李延义</w:t>
      </w:r>
      <w:r>
        <w:rPr>
          <w:rFonts w:hAnsi="宋体"/>
          <w:bCs/>
          <w:sz w:val="24"/>
        </w:rPr>
        <w:t>，公司</w:t>
      </w:r>
      <w:r>
        <w:rPr>
          <w:rFonts w:hAnsi="宋体"/>
          <w:sz w:val="24"/>
        </w:rPr>
        <w:t>位于</w:t>
      </w:r>
      <w:r>
        <w:rPr>
          <w:sz w:val="24"/>
        </w:rPr>
        <w:t>聊城市莘县妹冢镇工业集聚区2号院</w:t>
      </w:r>
      <w:r>
        <w:rPr>
          <w:rFonts w:hAnsi="宋体"/>
          <w:sz w:val="24"/>
        </w:rPr>
        <w:t>，本项目预计投资</w:t>
      </w:r>
      <w:r>
        <w:rPr>
          <w:sz w:val="24"/>
        </w:rPr>
        <w:t>600万元</w:t>
      </w:r>
      <w:r>
        <w:rPr>
          <w:rFonts w:hAnsi="宋体"/>
          <w:sz w:val="24"/>
        </w:rPr>
        <w:t>，项目总占地面积</w:t>
      </w:r>
      <w:r>
        <w:rPr>
          <w:sz w:val="24"/>
        </w:rPr>
        <w:t>6394.97m</w:t>
      </w:r>
      <w:r>
        <w:rPr>
          <w:sz w:val="24"/>
          <w:vertAlign w:val="superscript"/>
        </w:rPr>
        <w:t>2</w:t>
      </w:r>
      <w:r>
        <w:rPr>
          <w:rFonts w:hAnsi="宋体"/>
          <w:sz w:val="24"/>
        </w:rPr>
        <w:t>，</w:t>
      </w:r>
      <w:r>
        <w:rPr>
          <w:sz w:val="24"/>
        </w:rPr>
        <w:t>租赁厂房</w:t>
      </w:r>
      <w:r>
        <w:rPr>
          <w:rFonts w:hAnsi="宋体"/>
          <w:sz w:val="24"/>
        </w:rPr>
        <w:t>建设</w:t>
      </w:r>
      <w:r>
        <w:rPr>
          <w:sz w:val="24"/>
        </w:rPr>
        <w:t>年生产8000吨马镫、钉子（不含8.8级以下普通低档标准紧固件制造）、网片项目，由于企业资金问题，</w:t>
      </w:r>
      <w:r>
        <w:rPr>
          <w:rFonts w:hAnsi="宋体"/>
          <w:sz w:val="24"/>
        </w:rPr>
        <w:t>目前已建成部分网片生产线，其他暂未建设。项目分期验收，本次仅验收一期网片生产线，投资</w:t>
      </w:r>
      <w:r>
        <w:rPr>
          <w:sz w:val="24"/>
        </w:rPr>
        <w:t>200</w:t>
      </w:r>
      <w:r>
        <w:rPr>
          <w:rFonts w:hAnsi="宋体"/>
          <w:sz w:val="24"/>
        </w:rPr>
        <w:t>万元，购置</w:t>
      </w:r>
      <w:r>
        <w:rPr>
          <w:sz w:val="24"/>
        </w:rPr>
        <w:t>21</w:t>
      </w:r>
      <w:r>
        <w:rPr>
          <w:rFonts w:hAnsi="宋体"/>
          <w:sz w:val="24"/>
        </w:rPr>
        <w:t>台</w:t>
      </w:r>
      <w:r>
        <w:rPr>
          <w:sz w:val="24"/>
        </w:rPr>
        <w:t>铁丝焊网机</w:t>
      </w:r>
      <w:r>
        <w:rPr>
          <w:rFonts w:hAnsi="宋体"/>
          <w:sz w:val="24"/>
        </w:rPr>
        <w:t>加工设备，其中</w:t>
      </w:r>
      <w:r>
        <w:rPr>
          <w:sz w:val="24"/>
        </w:rPr>
        <w:t>21</w:t>
      </w:r>
      <w:r>
        <w:rPr>
          <w:rFonts w:hAnsi="宋体"/>
          <w:sz w:val="24"/>
        </w:rPr>
        <w:t>台当中有</w:t>
      </w:r>
      <w:r>
        <w:rPr>
          <w:sz w:val="24"/>
        </w:rPr>
        <w:t>5</w:t>
      </w:r>
      <w:r>
        <w:rPr>
          <w:rFonts w:hAnsi="宋体"/>
          <w:sz w:val="24"/>
        </w:rPr>
        <w:t>台大型焊网机，生产规模为年产</w:t>
      </w:r>
      <w:r>
        <w:rPr>
          <w:sz w:val="24"/>
        </w:rPr>
        <w:t>2000</w:t>
      </w:r>
      <w:r>
        <w:rPr>
          <w:rFonts w:hAnsi="宋体"/>
          <w:sz w:val="24"/>
        </w:rPr>
        <w:t>吨网片</w:t>
      </w:r>
      <w:r>
        <w:rPr>
          <w:rFonts w:hint="eastAsia" w:hAnsi="宋体"/>
          <w:sz w:val="24"/>
        </w:rPr>
        <w:t>。</w:t>
      </w:r>
    </w:p>
    <w:p>
      <w:pPr>
        <w:tabs>
          <w:tab w:val="left" w:pos="360"/>
        </w:tabs>
        <w:spacing w:line="384" w:lineRule="auto"/>
        <w:ind w:firstLine="600" w:firstLineChars="250"/>
        <w:jc w:val="left"/>
        <w:rPr>
          <w:rFonts w:eastAsiaTheme="majorEastAsia"/>
          <w:sz w:val="24"/>
        </w:rPr>
      </w:pPr>
      <w:r>
        <w:rPr>
          <w:rFonts w:eastAsiaTheme="majorEastAsia"/>
          <w:sz w:val="24"/>
        </w:rPr>
        <w:t>（2）环保审批情况</w:t>
      </w:r>
    </w:p>
    <w:p>
      <w:pPr>
        <w:tabs>
          <w:tab w:val="left" w:pos="360"/>
        </w:tabs>
        <w:spacing w:line="360" w:lineRule="auto"/>
        <w:ind w:firstLine="480" w:firstLineChars="200"/>
        <w:jc w:val="left"/>
        <w:rPr>
          <w:rFonts w:eastAsia="楷体"/>
          <w:sz w:val="28"/>
          <w:szCs w:val="28"/>
        </w:rPr>
      </w:pPr>
      <w:r>
        <w:rPr>
          <w:rFonts w:eastAsiaTheme="majorEastAsia"/>
          <w:sz w:val="24"/>
        </w:rPr>
        <w:t>莘县韵琪五金建材有限公司于2019年12月委托山东</w:t>
      </w:r>
      <w:r>
        <w:rPr>
          <w:rFonts w:hint="eastAsia" w:eastAsiaTheme="majorEastAsia"/>
          <w:sz w:val="24"/>
          <w:lang w:eastAsia="zh-CN"/>
        </w:rPr>
        <w:t>斐</w:t>
      </w:r>
      <w:r>
        <w:rPr>
          <w:rFonts w:eastAsiaTheme="majorEastAsia"/>
          <w:sz w:val="24"/>
        </w:rPr>
        <w:t>然环保咨询有限公司编制了《莘县韵琪五金建材有限公司年生产8000吨马镫、钉子（不含8.8级以下普通低档标准</w:t>
      </w:r>
      <w:r>
        <w:rPr>
          <w:rFonts w:eastAsiaTheme="majorEastAsia"/>
          <w:bCs/>
          <w:sz w:val="24"/>
        </w:rPr>
        <w:t>紧固件制造）、网片</w:t>
      </w:r>
      <w:r>
        <w:rPr>
          <w:rFonts w:eastAsiaTheme="majorEastAsia"/>
          <w:sz w:val="24"/>
        </w:rPr>
        <w:t>项目环境影响报告表》，2020年4月14日莘县行政审批服务局以</w:t>
      </w:r>
      <w:r>
        <w:rPr>
          <w:rFonts w:eastAsiaTheme="majorEastAsia"/>
          <w:caps/>
          <w:sz w:val="24"/>
        </w:rPr>
        <w:t>莘行审报告表[2020]19号</w:t>
      </w:r>
      <w:r>
        <w:rPr>
          <w:rFonts w:eastAsiaTheme="majorEastAsia"/>
          <w:sz w:val="24"/>
        </w:rPr>
        <w:t>对其进行了审批。</w:t>
      </w:r>
      <w:r>
        <w:rPr>
          <w:rFonts w:eastAsiaTheme="majorEastAsia"/>
          <w:kern w:val="0"/>
          <w:sz w:val="24"/>
        </w:rPr>
        <w:t>企业于</w:t>
      </w:r>
      <w:r>
        <w:rPr>
          <w:rFonts w:eastAsiaTheme="majorEastAsia"/>
          <w:sz w:val="24"/>
        </w:rPr>
        <w:t>2020年10月份委托山东聊和环保科技有限公司进行该项目一期的环保验收监测工作，接受委托后山东聊和环</w:t>
      </w:r>
      <w:r>
        <w:rPr>
          <w:sz w:val="24"/>
        </w:rPr>
        <w:t>保科技有限公司组织有关技术人员进行现场踏勘、收集资料，依据国家有关法规文件和项目环保验收监测技术规范制定了该项目环保验收监测方案，并于2020年10月13日-14日进行了现场监测，根据验收监测结果和现场检查情况编制了本项目验收监测报告。</w:t>
      </w:r>
    </w:p>
    <w:p>
      <w:pPr>
        <w:tabs>
          <w:tab w:val="left" w:pos="360"/>
        </w:tabs>
        <w:spacing w:line="384" w:lineRule="auto"/>
        <w:ind w:firstLine="480" w:firstLineChars="200"/>
        <w:jc w:val="left"/>
        <w:rPr>
          <w:sz w:val="24"/>
        </w:rPr>
      </w:pPr>
      <w:r>
        <w:rPr>
          <w:sz w:val="24"/>
        </w:rPr>
        <w:t>（3）投资情况</w:t>
      </w:r>
    </w:p>
    <w:p>
      <w:pPr>
        <w:tabs>
          <w:tab w:val="left" w:pos="360"/>
        </w:tabs>
        <w:spacing w:line="384" w:lineRule="auto"/>
        <w:ind w:firstLine="480" w:firstLineChars="200"/>
        <w:jc w:val="left"/>
        <w:rPr>
          <w:rFonts w:eastAsia="楷体"/>
          <w:color w:val="FF0000"/>
          <w:sz w:val="24"/>
        </w:rPr>
      </w:pPr>
      <w:r>
        <w:rPr>
          <w:rFonts w:eastAsiaTheme="minorEastAsia"/>
          <w:sz w:val="24"/>
        </w:rPr>
        <w:t>项目一期实际总投资200万元，其中环保投资7万元，占总投资3.5％</w:t>
      </w:r>
      <w:r>
        <w:rPr>
          <w:rFonts w:eastAsia="楷体"/>
          <w:sz w:val="24"/>
        </w:rPr>
        <w:t>。</w:t>
      </w:r>
    </w:p>
    <w:p>
      <w:pPr>
        <w:tabs>
          <w:tab w:val="left" w:pos="360"/>
        </w:tabs>
        <w:spacing w:line="384" w:lineRule="auto"/>
        <w:ind w:firstLine="480" w:firstLineChars="200"/>
        <w:jc w:val="left"/>
        <w:rPr>
          <w:sz w:val="24"/>
        </w:rPr>
      </w:pPr>
      <w:r>
        <w:rPr>
          <w:sz w:val="24"/>
        </w:rPr>
        <w:t>（4）验收范围</w:t>
      </w:r>
    </w:p>
    <w:p>
      <w:pPr>
        <w:spacing w:line="360" w:lineRule="auto"/>
        <w:ind w:right="-1462" w:rightChars="-696" w:firstLine="480" w:firstLineChars="200"/>
        <w:rPr>
          <w:sz w:val="24"/>
        </w:rPr>
      </w:pPr>
      <w:r>
        <w:rPr>
          <w:sz w:val="24"/>
        </w:rPr>
        <w:t>本次验收范围为一期网片生产线（</w:t>
      </w:r>
      <w:r>
        <w:rPr>
          <w:rFonts w:hint="eastAsia"/>
          <w:sz w:val="24"/>
        </w:rPr>
        <w:t>年产</w:t>
      </w:r>
      <w:r>
        <w:rPr>
          <w:sz w:val="24"/>
        </w:rPr>
        <w:t>2000吨网片）及其配套环保设施。</w:t>
      </w:r>
    </w:p>
    <w:p>
      <w:pPr>
        <w:tabs>
          <w:tab w:val="left" w:pos="360"/>
        </w:tabs>
        <w:spacing w:line="360" w:lineRule="auto"/>
        <w:ind w:firstLine="560" w:firstLineChars="200"/>
        <w:jc w:val="left"/>
        <w:rPr>
          <w:rFonts w:eastAsiaTheme="majorEastAsia"/>
          <w:sz w:val="28"/>
          <w:szCs w:val="28"/>
        </w:rPr>
      </w:pPr>
      <w:r>
        <w:rPr>
          <w:rFonts w:eastAsiaTheme="majorEastAsia"/>
          <w:sz w:val="28"/>
          <w:szCs w:val="28"/>
        </w:rPr>
        <w:t>二、工程变更情况</w:t>
      </w:r>
    </w:p>
    <w:p>
      <w:pPr>
        <w:pStyle w:val="4"/>
        <w:spacing w:line="360" w:lineRule="auto"/>
        <w:ind w:firstLine="480"/>
      </w:pPr>
      <w:r>
        <w:rPr>
          <w:sz w:val="24"/>
        </w:rPr>
        <w:t>经现场验收核查，对照环评报告及审批意见，网片生产线原项目环评中有20台冷拔丝机，60台铁丝焊网机，企业由于资金问题，一期设备实际生产过程中只有21台铁丝焊网机（其中5台为大型焊网机），未购置20台冷拔丝机，由外购冷拔丝代替部分冷拔丝生产工序。项目分期进行验收，一期只验收21台铁丝焊网机。生产性质、生产地点、生产规模、生产工艺流程及环保设施均无明显变动，根据《关于印发环评管理中部分行业建设项目重大变动清单的通知》环办[2015]52号，项目不涉及重大变更。</w:t>
      </w:r>
    </w:p>
    <w:p>
      <w:pPr>
        <w:pStyle w:val="17"/>
        <w:spacing w:line="360" w:lineRule="auto"/>
        <w:ind w:firstLine="560"/>
        <w:jc w:val="left"/>
        <w:rPr>
          <w:rFonts w:eastAsiaTheme="majorEastAsia"/>
          <w:sz w:val="28"/>
          <w:szCs w:val="28"/>
        </w:rPr>
      </w:pPr>
      <w:r>
        <w:rPr>
          <w:rFonts w:eastAsiaTheme="majorEastAsia"/>
          <w:sz w:val="28"/>
          <w:szCs w:val="28"/>
        </w:rPr>
        <w:t>三、环境保护设施落实情况</w:t>
      </w:r>
    </w:p>
    <w:p>
      <w:pPr>
        <w:pStyle w:val="17"/>
        <w:spacing w:line="360" w:lineRule="auto"/>
        <w:ind w:firstLine="480"/>
        <w:rPr>
          <w:rFonts w:eastAsiaTheme="majorEastAsia"/>
          <w:sz w:val="24"/>
        </w:rPr>
      </w:pPr>
      <w:r>
        <w:rPr>
          <w:rFonts w:eastAsiaTheme="majorEastAsia"/>
          <w:sz w:val="24"/>
        </w:rPr>
        <w:t>（1）废水污染源及其治理措施</w:t>
      </w:r>
    </w:p>
    <w:p>
      <w:pPr>
        <w:spacing w:line="360" w:lineRule="auto"/>
        <w:ind w:firstLine="480" w:firstLineChars="200"/>
        <w:rPr>
          <w:rFonts w:eastAsia="楷体"/>
          <w:sz w:val="28"/>
          <w:szCs w:val="28"/>
        </w:rPr>
      </w:pPr>
      <w:r>
        <w:rPr>
          <w:sz w:val="24"/>
          <w:lang w:val="zh-CN"/>
        </w:rPr>
        <w:t>本项目无生产废水产生，厂区不设宿舍及食堂，产生的废水主要为生活污水，生活污水经化粪池处理后，由环卫部门定期清运，不外排</w:t>
      </w:r>
      <w:r>
        <w:rPr>
          <w:rFonts w:eastAsia="楷体"/>
          <w:sz w:val="28"/>
          <w:szCs w:val="28"/>
        </w:rPr>
        <w:pict>
          <v:line id="_x0000_s1031" o:spid="_x0000_s1031" o:spt="20" style="position:absolute;left:0pt;margin-left:-510.75pt;margin-top:135.65pt;height:0pt;width:18pt;z-index:251689984;mso-width-relative:page;mso-height-relative:page;" coordsize="21600,21600">
            <v:path arrowok="t"/>
            <v:fill focussize="0,0"/>
            <v:stroke endarrow="block"/>
            <v:imagedata o:title=""/>
            <o:lock v:ext="edit"/>
          </v:line>
        </w:pict>
      </w:r>
      <w:r>
        <w:rPr>
          <w:rFonts w:eastAsia="楷体"/>
          <w:sz w:val="28"/>
          <w:szCs w:val="28"/>
        </w:rPr>
        <w:pict>
          <v:line id="直线 2783" o:spid="_x0000_s1030" o:spt="20" style="position:absolute;left:0pt;margin-left:-510.75pt;margin-top:135.65pt;height:0pt;width:18pt;z-index:251670528;mso-width-relative:page;mso-height-relative:page;" coordsize="21600,21600">
            <v:path arrowok="t"/>
            <v:fill focussize="0,0"/>
            <v:stroke endarrow="block"/>
            <v:imagedata o:title=""/>
            <o:lock v:ext="edit"/>
          </v:line>
        </w:pict>
      </w:r>
      <w:r>
        <w:rPr>
          <w:sz w:val="24"/>
          <w:lang w:val="zh-CN"/>
        </w:rPr>
        <w:t>。</w:t>
      </w:r>
    </w:p>
    <w:p>
      <w:pPr>
        <w:adjustRightInd w:val="0"/>
        <w:spacing w:line="360" w:lineRule="auto"/>
        <w:ind w:firstLine="480" w:firstLineChars="200"/>
        <w:rPr>
          <w:sz w:val="24"/>
        </w:rPr>
      </w:pPr>
      <w:r>
        <w:rPr>
          <w:sz w:val="24"/>
        </w:rPr>
        <w:t>（2）废气污染源及其治理措施</w:t>
      </w:r>
    </w:p>
    <w:p>
      <w:pPr>
        <w:widowControl/>
        <w:spacing w:line="360" w:lineRule="auto"/>
        <w:ind w:firstLine="480" w:firstLineChars="200"/>
        <w:jc w:val="left"/>
        <w:rPr>
          <w:bCs/>
          <w:kern w:val="0"/>
          <w:sz w:val="24"/>
        </w:rPr>
      </w:pPr>
      <w:r>
        <w:rPr>
          <w:sz w:val="24"/>
        </w:rPr>
        <w:t>本项目焊接过程中焊网机利用电能进行焊接，通过利用两工件接触面之间的电阻，瞬间通过低电压大电流，使得两个相互对接的金属接触面瞬间发热至融化并融合，未涉及到焊丝或焊条的使用。故产生的焊接</w:t>
      </w:r>
      <w:r>
        <w:rPr>
          <w:bCs/>
          <w:kern w:val="0"/>
          <w:sz w:val="24"/>
        </w:rPr>
        <w:t>废气极少，企业通过加强车间通风管理，以无组织形式进行逸散。</w:t>
      </w:r>
    </w:p>
    <w:p>
      <w:pPr>
        <w:widowControl/>
        <w:spacing w:line="384" w:lineRule="auto"/>
        <w:ind w:firstLine="480" w:firstLineChars="200"/>
        <w:jc w:val="left"/>
        <w:rPr>
          <w:sz w:val="24"/>
        </w:rPr>
      </w:pPr>
      <w:r>
        <w:rPr>
          <w:sz w:val="24"/>
        </w:rPr>
        <w:t>（3）噪声</w:t>
      </w:r>
    </w:p>
    <w:p>
      <w:pPr>
        <w:widowControl/>
        <w:spacing w:line="360" w:lineRule="auto"/>
        <w:ind w:firstLine="360" w:firstLineChars="150"/>
        <w:jc w:val="left"/>
        <w:rPr>
          <w:sz w:val="24"/>
        </w:rPr>
      </w:pPr>
      <w:r>
        <w:rPr>
          <w:bCs/>
          <w:sz w:val="24"/>
        </w:rPr>
        <w:t>本项目产生的噪声主要为焊网机等设备运行时产生的噪声，各设备均置于生产车间内</w:t>
      </w:r>
      <w:r>
        <w:rPr>
          <w:sz w:val="24"/>
        </w:rPr>
        <w:t>，</w:t>
      </w:r>
      <w:r>
        <w:rPr>
          <w:bCs/>
          <w:sz w:val="24"/>
        </w:rPr>
        <w:t>各设备均采用减振基底，定期进行设备检修，减轻设备运转时产生的噪声等措施</w:t>
      </w:r>
      <w:r>
        <w:rPr>
          <w:sz w:val="24"/>
        </w:rPr>
        <w:t>降低对外环境的影响。</w:t>
      </w:r>
    </w:p>
    <w:p>
      <w:pPr>
        <w:spacing w:line="384" w:lineRule="auto"/>
        <w:ind w:firstLine="240" w:firstLineChars="100"/>
        <w:jc w:val="left"/>
        <w:rPr>
          <w:rFonts w:eastAsiaTheme="majorEastAsia"/>
          <w:sz w:val="24"/>
        </w:rPr>
      </w:pPr>
      <w:r>
        <w:rPr>
          <w:rFonts w:eastAsiaTheme="majorEastAsia"/>
          <w:sz w:val="24"/>
        </w:rPr>
        <w:t>（4）固体废物</w:t>
      </w:r>
    </w:p>
    <w:p>
      <w:pPr>
        <w:pageBreakBefore w:val="0"/>
        <w:widowControl/>
        <w:kinsoku/>
        <w:wordWrap/>
        <w:overflowPunct/>
        <w:topLinePunct w:val="0"/>
        <w:autoSpaceDE/>
        <w:autoSpaceDN/>
        <w:bidi w:val="0"/>
        <w:snapToGrid/>
        <w:spacing w:line="360" w:lineRule="auto"/>
        <w:ind w:firstLine="480" w:firstLineChars="200"/>
        <w:textAlignment w:val="auto"/>
        <w:rPr>
          <w:rFonts w:hint="default" w:ascii="Times New Roman" w:hAnsi="Times New Roman" w:cs="Times New Roman"/>
          <w:color w:val="000000"/>
          <w:sz w:val="24"/>
          <w:highlight w:val="none"/>
        </w:rPr>
      </w:pPr>
      <w:r>
        <w:rPr>
          <w:rFonts w:hint="default" w:ascii="Times New Roman" w:hAnsi="Times New Roman" w:cs="Times New Roman"/>
          <w:color w:val="000000"/>
          <w:sz w:val="24"/>
          <w:highlight w:val="none"/>
        </w:rPr>
        <w:t>项目运营期产生的固体废物主要是</w:t>
      </w:r>
      <w:r>
        <w:rPr>
          <w:rFonts w:hint="default" w:ascii="Times New Roman" w:hAnsi="Times New Roman" w:cs="Times New Roman"/>
          <w:color w:val="000000"/>
          <w:sz w:val="24"/>
          <w:highlight w:val="none"/>
          <w:lang w:eastAsia="zh-CN"/>
        </w:rPr>
        <w:t>水性漆漆渣、废胶带</w:t>
      </w:r>
      <w:r>
        <w:rPr>
          <w:rFonts w:hint="default" w:ascii="Times New Roman" w:hAnsi="Times New Roman" w:cs="Times New Roman"/>
          <w:color w:val="000000"/>
          <w:sz w:val="24"/>
          <w:highlight w:val="none"/>
        </w:rPr>
        <w:t>、</w:t>
      </w:r>
      <w:r>
        <w:rPr>
          <w:rFonts w:hint="default" w:ascii="Times New Roman" w:hAnsi="Times New Roman" w:cs="Times New Roman"/>
          <w:color w:val="000000"/>
          <w:sz w:val="24"/>
          <w:highlight w:val="none"/>
          <w:lang w:eastAsia="zh-CN"/>
        </w:rPr>
        <w:t>废水性漆漆漆桶、废过滤棉、</w:t>
      </w:r>
      <w:r>
        <w:rPr>
          <w:rFonts w:hint="default" w:ascii="Times New Roman" w:hAnsi="Times New Roman" w:cs="Times New Roman"/>
          <w:color w:val="000000"/>
          <w:sz w:val="24"/>
          <w:highlight w:val="none"/>
        </w:rPr>
        <w:t>废活性炭、</w:t>
      </w:r>
      <w:r>
        <w:rPr>
          <w:rFonts w:hint="default" w:ascii="Times New Roman" w:hAnsi="Times New Roman" w:cs="Times New Roman"/>
          <w:color w:val="000000"/>
          <w:sz w:val="24"/>
          <w:highlight w:val="none"/>
          <w:lang w:eastAsia="zh-CN"/>
        </w:rPr>
        <w:t>废催化剂、</w:t>
      </w:r>
      <w:r>
        <w:rPr>
          <w:rFonts w:hint="default" w:ascii="Times New Roman" w:hAnsi="Times New Roman" w:cs="Times New Roman"/>
          <w:color w:val="000000"/>
          <w:sz w:val="24"/>
          <w:highlight w:val="none"/>
        </w:rPr>
        <w:t>废机油、废机油桶、生活垃圾等。</w:t>
      </w:r>
    </w:p>
    <w:p>
      <w:pPr>
        <w:pStyle w:val="2"/>
        <w:pageBreakBefore w:val="0"/>
        <w:widowControl/>
        <w:kinsoku/>
        <w:wordWrap/>
        <w:overflowPunct/>
        <w:topLinePunct w:val="0"/>
        <w:autoSpaceDE/>
        <w:autoSpaceDN/>
        <w:bidi w:val="0"/>
        <w:snapToGrid/>
        <w:spacing w:line="360" w:lineRule="auto"/>
        <w:ind w:firstLine="480"/>
        <w:jc w:val="both"/>
        <w:textAlignment w:val="auto"/>
        <w:rPr>
          <w:rFonts w:eastAsiaTheme="minorEastAsia"/>
          <w:sz w:val="28"/>
          <w:szCs w:val="28"/>
        </w:rPr>
      </w:pPr>
      <w:r>
        <w:rPr>
          <w:rFonts w:hint="default" w:ascii="Times New Roman" w:hAnsi="Times New Roman" w:cs="Times New Roman"/>
          <w:color w:val="000000"/>
          <w:sz w:val="24"/>
          <w:highlight w:val="none"/>
          <w:lang w:eastAsia="zh-CN"/>
        </w:rPr>
        <w:t>水性漆漆渣</w:t>
      </w:r>
      <w:r>
        <w:rPr>
          <w:rFonts w:hint="default" w:ascii="Times New Roman" w:hAnsi="Times New Roman" w:cs="Times New Roman"/>
          <w:sz w:val="24"/>
          <w:szCs w:val="24"/>
          <w:highlight w:val="none"/>
          <w:lang w:val="en-US" w:eastAsia="zh-CN"/>
        </w:rPr>
        <w:t>、</w:t>
      </w:r>
      <w:r>
        <w:rPr>
          <w:rFonts w:hint="default" w:ascii="Times New Roman" w:hAnsi="Times New Roman" w:cs="Times New Roman"/>
          <w:color w:val="000000"/>
          <w:sz w:val="24"/>
          <w:highlight w:val="none"/>
          <w:lang w:eastAsia="zh-CN"/>
        </w:rPr>
        <w:t>废胶带、废过滤棉</w:t>
      </w:r>
      <w:r>
        <w:rPr>
          <w:rFonts w:hint="default" w:ascii="Times New Roman" w:hAnsi="Times New Roman" w:cs="Times New Roman"/>
          <w:sz w:val="24"/>
          <w:szCs w:val="24"/>
          <w:highlight w:val="none"/>
          <w:lang w:val="en-US" w:eastAsia="zh-CN"/>
        </w:rPr>
        <w:t>均为一般工业固废，</w:t>
      </w:r>
      <w:r>
        <w:rPr>
          <w:rFonts w:hint="default" w:ascii="Times New Roman" w:hAnsi="Times New Roman" w:cs="Times New Roman"/>
          <w:color w:val="000000"/>
          <w:sz w:val="24"/>
          <w:highlight w:val="none"/>
          <w:lang w:eastAsia="zh-CN"/>
        </w:rPr>
        <w:t>收集后委托环卫部门妥善处理</w:t>
      </w:r>
      <w:r>
        <w:rPr>
          <w:rFonts w:hint="default" w:ascii="Times New Roman" w:hAnsi="Times New Roman" w:cs="Times New Roman"/>
          <w:sz w:val="24"/>
          <w:szCs w:val="24"/>
          <w:highlight w:val="none"/>
          <w:lang w:val="en-US" w:eastAsia="zh-CN"/>
        </w:rPr>
        <w:t>。</w:t>
      </w:r>
      <w:r>
        <w:rPr>
          <w:rFonts w:hint="default" w:ascii="Times New Roman" w:hAnsi="Times New Roman" w:cs="Times New Roman"/>
          <w:color w:val="000000"/>
          <w:sz w:val="24"/>
          <w:highlight w:val="none"/>
          <w:lang w:eastAsia="zh-CN"/>
        </w:rPr>
        <w:t>水性漆漆桶收集后由厂家回收，</w:t>
      </w:r>
      <w:r>
        <w:rPr>
          <w:rFonts w:hint="default" w:ascii="Times New Roman" w:hAnsi="Times New Roman" w:cs="Times New Roman"/>
          <w:color w:val="000000"/>
          <w:sz w:val="24"/>
          <w:highlight w:val="none"/>
        </w:rPr>
        <w:t>废活性炭</w:t>
      </w:r>
      <w:r>
        <w:rPr>
          <w:rFonts w:hint="default" w:ascii="Times New Roman" w:hAnsi="Times New Roman" w:cs="Times New Roman"/>
          <w:sz w:val="24"/>
          <w:szCs w:val="24"/>
          <w:highlight w:val="none"/>
          <w:lang w:val="en-US" w:eastAsia="zh-CN"/>
        </w:rPr>
        <w:t>、</w:t>
      </w:r>
      <w:r>
        <w:rPr>
          <w:rFonts w:hint="default" w:ascii="Times New Roman" w:hAnsi="Times New Roman" w:cs="Times New Roman"/>
          <w:color w:val="000000"/>
          <w:sz w:val="24"/>
          <w:highlight w:val="none"/>
        </w:rPr>
        <w:t>废机油</w:t>
      </w:r>
      <w:r>
        <w:rPr>
          <w:rFonts w:hint="default" w:ascii="Times New Roman" w:hAnsi="Times New Roman" w:cs="Times New Roman"/>
          <w:sz w:val="24"/>
          <w:szCs w:val="24"/>
          <w:highlight w:val="none"/>
          <w:lang w:val="en-US" w:eastAsia="zh-CN"/>
        </w:rPr>
        <w:t>、</w:t>
      </w:r>
      <w:r>
        <w:rPr>
          <w:rFonts w:hint="default" w:ascii="Times New Roman" w:hAnsi="Times New Roman" w:cs="Times New Roman"/>
          <w:color w:val="000000"/>
          <w:sz w:val="24"/>
          <w:highlight w:val="none"/>
        </w:rPr>
        <w:t>废机油桶</w:t>
      </w:r>
      <w:r>
        <w:rPr>
          <w:rFonts w:hint="default" w:ascii="Times New Roman" w:hAnsi="Times New Roman" w:cs="Times New Roman"/>
          <w:sz w:val="24"/>
          <w:szCs w:val="24"/>
          <w:highlight w:val="none"/>
          <w:lang w:val="en-US" w:eastAsia="zh-CN"/>
        </w:rPr>
        <w:t>、</w:t>
      </w:r>
      <w:r>
        <w:rPr>
          <w:rFonts w:hint="default" w:ascii="Times New Roman" w:hAnsi="Times New Roman" w:cs="Times New Roman"/>
          <w:color w:val="000000"/>
          <w:sz w:val="24"/>
          <w:highlight w:val="none"/>
          <w:lang w:val="en-US" w:eastAsia="zh-CN"/>
        </w:rPr>
        <w:t>废催化剂</w:t>
      </w:r>
      <w:r>
        <w:rPr>
          <w:rFonts w:hint="default" w:ascii="Times New Roman" w:hAnsi="Times New Roman" w:cs="Times New Roman"/>
          <w:sz w:val="24"/>
          <w:szCs w:val="24"/>
          <w:highlight w:val="none"/>
          <w:lang w:val="en-US" w:eastAsia="zh-CN"/>
        </w:rPr>
        <w:t>属于危险废物，产生后在厂区危废间暂存，委托山东聚鼎瑞环保科技有限公司进行处理。生活垃圾由环卫部门统一收集处理。</w:t>
      </w:r>
    </w:p>
    <w:p>
      <w:pPr>
        <w:snapToGrid w:val="0"/>
        <w:spacing w:line="360" w:lineRule="auto"/>
        <w:ind w:firstLine="560" w:firstLineChars="200"/>
        <w:rPr>
          <w:rFonts w:eastAsiaTheme="minorEastAsia"/>
          <w:sz w:val="28"/>
          <w:szCs w:val="28"/>
        </w:rPr>
      </w:pPr>
      <w:r>
        <w:rPr>
          <w:rFonts w:eastAsiaTheme="minorEastAsia"/>
          <w:sz w:val="28"/>
          <w:szCs w:val="28"/>
        </w:rPr>
        <w:t>四、验收监测结果</w:t>
      </w:r>
    </w:p>
    <w:p>
      <w:pPr>
        <w:spacing w:line="360" w:lineRule="auto"/>
        <w:ind w:firstLine="360" w:firstLineChars="150"/>
        <w:jc w:val="left"/>
        <w:rPr>
          <w:rFonts w:eastAsiaTheme="majorEastAsia"/>
          <w:sz w:val="24"/>
        </w:rPr>
      </w:pPr>
      <w:r>
        <w:rPr>
          <w:rFonts w:eastAsiaTheme="majorEastAsia"/>
          <w:sz w:val="24"/>
        </w:rPr>
        <w:t>（1）环保设施运行检测结果</w:t>
      </w:r>
    </w:p>
    <w:p>
      <w:pPr>
        <w:spacing w:line="360" w:lineRule="auto"/>
        <w:ind w:right="-1462" w:rightChars="-696" w:firstLine="600" w:firstLineChars="250"/>
        <w:rPr>
          <w:rFonts w:eastAsiaTheme="majorEastAsia"/>
          <w:sz w:val="24"/>
        </w:rPr>
      </w:pPr>
      <w:r>
        <w:rPr>
          <w:rFonts w:eastAsiaTheme="majorEastAsia"/>
          <w:sz w:val="24"/>
        </w:rPr>
        <w:t>山东聊和环保科技有限公司出具的《莘县韵琪五金建材有限公司年生产8000吨马镫、</w:t>
      </w:r>
    </w:p>
    <w:p>
      <w:pPr>
        <w:spacing w:line="360" w:lineRule="auto"/>
        <w:ind w:right="-1462" w:rightChars="-696"/>
        <w:rPr>
          <w:rFonts w:eastAsiaTheme="majorEastAsia"/>
          <w:sz w:val="24"/>
        </w:rPr>
      </w:pPr>
      <w:r>
        <w:rPr>
          <w:rFonts w:eastAsiaTheme="majorEastAsia"/>
          <w:sz w:val="24"/>
        </w:rPr>
        <w:t>钉子（不含8.8级以下普通低档标准</w:t>
      </w:r>
      <w:r>
        <w:rPr>
          <w:rFonts w:eastAsiaTheme="majorEastAsia"/>
          <w:bCs/>
          <w:sz w:val="24"/>
        </w:rPr>
        <w:t>紧固件制造）、网片项目</w:t>
      </w:r>
      <w:r>
        <w:rPr>
          <w:rFonts w:eastAsiaTheme="majorEastAsia"/>
          <w:sz w:val="24"/>
        </w:rPr>
        <w:t>（一期2000吨网片）竣工环</w:t>
      </w:r>
    </w:p>
    <w:p>
      <w:pPr>
        <w:spacing w:line="360" w:lineRule="auto"/>
        <w:ind w:right="-1462" w:rightChars="-696"/>
        <w:rPr>
          <w:rFonts w:eastAsiaTheme="majorEastAsia"/>
          <w:sz w:val="24"/>
        </w:rPr>
      </w:pPr>
      <w:r>
        <w:rPr>
          <w:rFonts w:eastAsiaTheme="majorEastAsia"/>
          <w:sz w:val="24"/>
        </w:rPr>
        <w:t>境保护验收监测报告》监测结果表明：</w:t>
      </w:r>
    </w:p>
    <w:p>
      <w:pPr>
        <w:spacing w:line="360" w:lineRule="auto"/>
        <w:ind w:firstLine="600" w:firstLineChars="250"/>
        <w:jc w:val="left"/>
        <w:rPr>
          <w:rFonts w:eastAsiaTheme="majorEastAsia"/>
          <w:sz w:val="24"/>
        </w:rPr>
      </w:pPr>
      <w:r>
        <w:rPr>
          <w:rFonts w:hAnsiTheme="majorEastAsia" w:eastAsiaTheme="majorEastAsia"/>
          <w:sz w:val="24"/>
        </w:rPr>
        <w:t>①</w:t>
      </w:r>
      <w:r>
        <w:rPr>
          <w:rFonts w:eastAsiaTheme="majorEastAsia"/>
          <w:sz w:val="24"/>
        </w:rPr>
        <w:t>废气</w:t>
      </w:r>
    </w:p>
    <w:p>
      <w:pPr>
        <w:spacing w:line="360" w:lineRule="auto"/>
        <w:ind w:firstLine="480" w:firstLineChars="200"/>
        <w:rPr>
          <w:rFonts w:eastAsiaTheme="majorEastAsia"/>
          <w:sz w:val="24"/>
        </w:rPr>
      </w:pPr>
      <w:r>
        <w:rPr>
          <w:rFonts w:eastAsiaTheme="majorEastAsia"/>
          <w:sz w:val="24"/>
        </w:rPr>
        <w:t>本项目废气监测因子无组织颗粒物</w:t>
      </w:r>
      <w:r>
        <w:rPr>
          <w:rFonts w:eastAsiaTheme="majorEastAsia"/>
          <w:spacing w:val="-10"/>
          <w:sz w:val="24"/>
        </w:rPr>
        <w:t>，验收</w:t>
      </w:r>
      <w:r>
        <w:rPr>
          <w:rFonts w:eastAsiaTheme="majorEastAsia"/>
          <w:bCs/>
          <w:sz w:val="24"/>
        </w:rPr>
        <w:t>监测期间，</w:t>
      </w:r>
      <w:r>
        <w:rPr>
          <w:rFonts w:eastAsiaTheme="majorEastAsia"/>
          <w:sz w:val="24"/>
        </w:rPr>
        <w:t>无组织颗粒物小时浓度最高为0.313mg/m</w:t>
      </w:r>
      <w:r>
        <w:rPr>
          <w:rFonts w:eastAsiaTheme="majorEastAsia"/>
          <w:sz w:val="24"/>
          <w:vertAlign w:val="superscript"/>
        </w:rPr>
        <w:t>3</w:t>
      </w:r>
      <w:r>
        <w:rPr>
          <w:rFonts w:eastAsiaTheme="majorEastAsia"/>
          <w:sz w:val="24"/>
        </w:rPr>
        <w:t>，满足《大气污染综合排放标准》（GB16297-1996）表2标准要求。</w:t>
      </w:r>
    </w:p>
    <w:p>
      <w:pPr>
        <w:spacing w:line="360" w:lineRule="auto"/>
        <w:ind w:firstLine="600" w:firstLineChars="250"/>
        <w:rPr>
          <w:rFonts w:eastAsiaTheme="majorEastAsia"/>
          <w:sz w:val="24"/>
        </w:rPr>
      </w:pPr>
      <w:r>
        <w:rPr>
          <w:rFonts w:hAnsiTheme="majorEastAsia" w:eastAsiaTheme="majorEastAsia"/>
          <w:sz w:val="24"/>
        </w:rPr>
        <w:t>②</w:t>
      </w:r>
      <w:r>
        <w:rPr>
          <w:rFonts w:eastAsiaTheme="majorEastAsia"/>
          <w:sz w:val="24"/>
        </w:rPr>
        <w:t>废水</w:t>
      </w:r>
    </w:p>
    <w:p>
      <w:pPr>
        <w:spacing w:line="360" w:lineRule="auto"/>
        <w:ind w:firstLine="480" w:firstLineChars="200"/>
        <w:rPr>
          <w:rFonts w:eastAsiaTheme="majorEastAsia"/>
          <w:sz w:val="24"/>
        </w:rPr>
      </w:pPr>
      <w:r>
        <w:rPr>
          <w:rFonts w:eastAsiaTheme="majorEastAsia"/>
          <w:sz w:val="24"/>
          <w:lang w:val="zh-CN"/>
        </w:rPr>
        <w:t>本项目无生产废水产生，厂区不设宿舍及食堂，产生的废水主要为生活污水，生活污水经化粪池处理后，由环卫部门定期清运，不外排</w:t>
      </w:r>
      <w:r>
        <w:rPr>
          <w:rFonts w:eastAsiaTheme="majorEastAsia"/>
          <w:sz w:val="24"/>
        </w:rPr>
        <w:pict>
          <v:line id="_x0000_s1037" o:spid="_x0000_s1037" o:spt="20" style="position:absolute;left:0pt;margin-left:-510.75pt;margin-top:135.65pt;height:0pt;width:18pt;z-index:251727872;mso-width-relative:page;mso-height-relative:page;" coordsize="21600,21600">
            <v:path arrowok="t"/>
            <v:fill focussize="0,0"/>
            <v:stroke endarrow="block"/>
            <v:imagedata o:title=""/>
            <o:lock v:ext="edit"/>
          </v:line>
        </w:pict>
      </w:r>
      <w:r>
        <w:rPr>
          <w:rFonts w:eastAsiaTheme="majorEastAsia"/>
          <w:sz w:val="24"/>
        </w:rPr>
        <w:pict>
          <v:line id="_x0000_s1036" o:spid="_x0000_s1036" o:spt="20" style="position:absolute;left:0pt;margin-left:-510.75pt;margin-top:135.65pt;height:0pt;width:18pt;z-index:251726848;mso-width-relative:page;mso-height-relative:page;" coordsize="21600,21600">
            <v:path arrowok="t"/>
            <v:fill focussize="0,0"/>
            <v:stroke endarrow="block"/>
            <v:imagedata o:title=""/>
            <o:lock v:ext="edit"/>
          </v:line>
        </w:pict>
      </w:r>
      <w:r>
        <w:rPr>
          <w:rFonts w:eastAsiaTheme="majorEastAsia"/>
          <w:sz w:val="24"/>
          <w:lang w:val="zh-CN"/>
        </w:rPr>
        <w:t>。</w:t>
      </w:r>
    </w:p>
    <w:p>
      <w:pPr>
        <w:spacing w:line="360" w:lineRule="auto"/>
        <w:ind w:firstLine="480" w:firstLineChars="200"/>
        <w:jc w:val="left"/>
        <w:rPr>
          <w:sz w:val="24"/>
        </w:rPr>
      </w:pPr>
      <w:r>
        <w:rPr>
          <w:rFonts w:hAnsi="宋体"/>
          <w:sz w:val="24"/>
        </w:rPr>
        <w:t>③</w:t>
      </w:r>
      <w:r>
        <w:rPr>
          <w:sz w:val="24"/>
        </w:rPr>
        <w:t>噪声</w:t>
      </w:r>
    </w:p>
    <w:p>
      <w:pPr>
        <w:pStyle w:val="2"/>
        <w:snapToGrid w:val="0"/>
        <w:spacing w:line="360" w:lineRule="auto"/>
        <w:ind w:firstLine="480"/>
        <w:rPr>
          <w:rFonts w:ascii="Times New Roman" w:hAnsi="Times New Roman" w:eastAsiaTheme="majorEastAsia"/>
          <w:sz w:val="24"/>
          <w:szCs w:val="24"/>
        </w:rPr>
      </w:pPr>
      <w:r>
        <w:rPr>
          <w:rFonts w:ascii="Times New Roman" w:hAnsi="Times New Roman" w:eastAsiaTheme="majorEastAsia"/>
          <w:sz w:val="24"/>
          <w:szCs w:val="24"/>
        </w:rPr>
        <w:t>验收监测期间，监测点位昼间噪声在55.4-58.3(dB)之间，符合《工业企业厂界环境噪声排放标准》（GB12348-2008）中的2类标准限值。</w:t>
      </w:r>
    </w:p>
    <w:p>
      <w:pPr>
        <w:pStyle w:val="2"/>
        <w:snapToGrid w:val="0"/>
        <w:spacing w:line="360" w:lineRule="auto"/>
        <w:ind w:firstLine="480"/>
        <w:rPr>
          <w:rFonts w:ascii="Times New Roman" w:hAnsi="Times New Roman" w:eastAsiaTheme="majorEastAsia"/>
          <w:sz w:val="24"/>
          <w:szCs w:val="24"/>
        </w:rPr>
      </w:pPr>
      <w:r>
        <w:rPr>
          <w:rFonts w:ascii="Times New Roman" w:hAnsiTheme="majorEastAsia" w:eastAsiaTheme="majorEastAsia"/>
          <w:sz w:val="24"/>
          <w:szCs w:val="24"/>
        </w:rPr>
        <w:t>④</w:t>
      </w:r>
      <w:r>
        <w:rPr>
          <w:rFonts w:ascii="Times New Roman" w:hAnsi="Times New Roman" w:eastAsiaTheme="majorEastAsia"/>
          <w:sz w:val="24"/>
          <w:szCs w:val="24"/>
        </w:rPr>
        <w:t>固废</w:t>
      </w:r>
    </w:p>
    <w:p>
      <w:pPr>
        <w:spacing w:line="360" w:lineRule="auto"/>
        <w:ind w:firstLine="480" w:firstLineChars="200"/>
        <w:rPr>
          <w:rFonts w:eastAsiaTheme="majorEastAsia"/>
          <w:sz w:val="24"/>
        </w:rPr>
      </w:pPr>
      <w:r>
        <w:rPr>
          <w:rFonts w:eastAsiaTheme="majorEastAsia"/>
          <w:sz w:val="24"/>
        </w:rPr>
        <w:t>本项目产生的固废主要为生产过程中产生的焊渣、残次品、废包装材料、废润滑油及工作人员产生的办公生活垃圾等；其中设备运行的废润滑油为危险废物，于厂区内设置危废间暂存，定期委托</w:t>
      </w:r>
      <w:r>
        <w:rPr>
          <w:rFonts w:eastAsiaTheme="majorEastAsia"/>
          <w:sz w:val="24"/>
          <w:lang w:val="zh-CN"/>
        </w:rPr>
        <w:t>山东绿信源环保科技有限公司</w:t>
      </w:r>
      <w:r>
        <w:rPr>
          <w:rFonts w:eastAsiaTheme="majorEastAsia"/>
          <w:sz w:val="24"/>
        </w:rPr>
        <w:t>进行处置；焊渣、残次品、废包装材、为一般固废，定期</w:t>
      </w:r>
      <w:r>
        <w:rPr>
          <w:rFonts w:eastAsiaTheme="majorEastAsia"/>
          <w:bCs/>
          <w:sz w:val="24"/>
        </w:rPr>
        <w:t>外售综合利用</w:t>
      </w:r>
      <w:r>
        <w:rPr>
          <w:rFonts w:eastAsiaTheme="majorEastAsia"/>
          <w:sz w:val="24"/>
        </w:rPr>
        <w:t>；生活垃圾由环卫部门定期清运。</w:t>
      </w:r>
    </w:p>
    <w:p>
      <w:pPr>
        <w:snapToGrid w:val="0"/>
        <w:spacing w:line="360" w:lineRule="auto"/>
        <w:ind w:firstLine="240" w:firstLineChars="100"/>
        <w:rPr>
          <w:rFonts w:eastAsiaTheme="majorEastAsia"/>
          <w:color w:val="000000"/>
          <w:sz w:val="24"/>
        </w:rPr>
      </w:pPr>
    </w:p>
    <w:p>
      <w:pPr>
        <w:snapToGrid w:val="0"/>
        <w:spacing w:line="360" w:lineRule="auto"/>
        <w:ind w:firstLine="240" w:firstLineChars="100"/>
        <w:rPr>
          <w:rFonts w:eastAsiaTheme="majorEastAsia"/>
          <w:color w:val="000000"/>
          <w:sz w:val="24"/>
        </w:rPr>
      </w:pPr>
      <w:r>
        <w:rPr>
          <w:rFonts w:eastAsiaTheme="majorEastAsia"/>
          <w:color w:val="000000"/>
          <w:sz w:val="24"/>
        </w:rPr>
        <w:t>（2）环境管理调查</w:t>
      </w:r>
    </w:p>
    <w:p>
      <w:pPr>
        <w:spacing w:line="360" w:lineRule="auto"/>
        <w:ind w:firstLine="480" w:firstLineChars="200"/>
        <w:rPr>
          <w:color w:val="000000"/>
          <w:sz w:val="24"/>
        </w:rPr>
      </w:pPr>
      <w:r>
        <w:rPr>
          <w:color w:val="000000"/>
          <w:sz w:val="24"/>
        </w:rPr>
        <w:t>公司制定了《</w:t>
      </w:r>
      <w:r>
        <w:rPr>
          <w:sz w:val="24"/>
        </w:rPr>
        <w:t>莘县韵琪五金建材有限公司</w:t>
      </w:r>
      <w:r>
        <w:rPr>
          <w:color w:val="000000"/>
          <w:sz w:val="24"/>
        </w:rPr>
        <w:t>环保管理制度》,并设立了相关机构。日常工作由工程部门归口管理，主要职责：行使公司环保工作的计划、组织、指挥、协调、检查和考核管理职能，日常一切工作须对公司负责。</w:t>
      </w:r>
    </w:p>
    <w:p>
      <w:pPr>
        <w:tabs>
          <w:tab w:val="left" w:pos="8880"/>
        </w:tabs>
        <w:snapToGrid w:val="0"/>
        <w:spacing w:line="384" w:lineRule="auto"/>
        <w:jc w:val="left"/>
        <w:rPr>
          <w:rFonts w:eastAsiaTheme="minorEastAsia"/>
          <w:sz w:val="28"/>
          <w:szCs w:val="28"/>
        </w:rPr>
      </w:pPr>
      <w:r>
        <w:rPr>
          <w:rFonts w:eastAsiaTheme="minorEastAsia"/>
          <w:sz w:val="28"/>
          <w:szCs w:val="28"/>
        </w:rPr>
        <w:t>五、专家意见</w:t>
      </w:r>
    </w:p>
    <w:p>
      <w:pPr>
        <w:tabs>
          <w:tab w:val="left" w:pos="8880"/>
        </w:tabs>
        <w:snapToGrid w:val="0"/>
        <w:spacing w:line="360" w:lineRule="auto"/>
        <w:ind w:firstLine="480" w:firstLineChars="200"/>
        <w:jc w:val="left"/>
        <w:rPr>
          <w:rFonts w:eastAsiaTheme="minorEastAsia"/>
          <w:sz w:val="24"/>
        </w:rPr>
      </w:pPr>
      <w:r>
        <w:rPr>
          <w:rFonts w:eastAsiaTheme="minorEastAsia"/>
          <w:sz w:val="24"/>
        </w:rPr>
        <w:t>1、北车间地面积尘太多，注意清洁生产，及时清理地面</w:t>
      </w:r>
    </w:p>
    <w:p>
      <w:pPr>
        <w:pStyle w:val="6"/>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2、进一步规范和完善危废间。</w:t>
      </w:r>
    </w:p>
    <w:p>
      <w:pPr>
        <w:pStyle w:val="6"/>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3、南车间焊网机集气罩收集面积太小，需要进一步向下及四周延伸，扩大收集面积。</w:t>
      </w:r>
    </w:p>
    <w:p>
      <w:pPr>
        <w:snapToGrid w:val="0"/>
        <w:spacing w:line="360" w:lineRule="auto"/>
        <w:jc w:val="left"/>
        <w:rPr>
          <w:sz w:val="28"/>
          <w:szCs w:val="28"/>
        </w:rPr>
      </w:pPr>
    </w:p>
    <w:p>
      <w:pPr>
        <w:snapToGrid w:val="0"/>
        <w:spacing w:line="360" w:lineRule="auto"/>
        <w:jc w:val="left"/>
        <w:rPr>
          <w:sz w:val="28"/>
          <w:szCs w:val="28"/>
        </w:rPr>
      </w:pPr>
      <w:r>
        <w:rPr>
          <w:sz w:val="28"/>
          <w:szCs w:val="28"/>
        </w:rPr>
        <w:t>六、验收结论</w:t>
      </w:r>
    </w:p>
    <w:p>
      <w:pPr>
        <w:spacing w:line="360" w:lineRule="auto"/>
        <w:ind w:firstLine="555"/>
        <w:rPr>
          <w:sz w:val="24"/>
        </w:rPr>
      </w:pPr>
      <w:r>
        <w:rPr>
          <w:sz w:val="24"/>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firstLine="480" w:firstLineChars="200"/>
        <w:jc w:val="left"/>
        <w:rPr>
          <w:rFonts w:eastAsia="楷体"/>
          <w:sz w:val="28"/>
          <w:szCs w:val="28"/>
        </w:rPr>
      </w:pPr>
      <w:r>
        <w:rPr>
          <w:sz w:val="24"/>
        </w:rPr>
        <w:t xml:space="preserve">鉴于项目符合国家和地方相关产业标准及准入要求，用地符合当地规划，环保设施与生产配套，验收期间各项监测指标满足国家相关排放标准，该项目通过环保验收。        </w:t>
      </w:r>
      <w:r>
        <w:rPr>
          <w:sz w:val="28"/>
          <w:szCs w:val="28"/>
        </w:rPr>
        <w:t xml:space="preserve">       </w:t>
      </w:r>
      <w:r>
        <w:rPr>
          <w:rFonts w:eastAsia="楷体"/>
          <w:sz w:val="28"/>
          <w:szCs w:val="28"/>
        </w:rPr>
        <w:t xml:space="preserve">           </w:t>
      </w:r>
    </w:p>
    <w:p>
      <w:pPr>
        <w:spacing w:line="360" w:lineRule="auto"/>
        <w:jc w:val="right"/>
        <w:rPr>
          <w:sz w:val="28"/>
          <w:szCs w:val="28"/>
        </w:rPr>
      </w:pPr>
    </w:p>
    <w:p>
      <w:pPr>
        <w:spacing w:line="360" w:lineRule="auto"/>
        <w:jc w:val="right"/>
        <w:rPr>
          <w:rFonts w:hint="eastAsia"/>
          <w:sz w:val="28"/>
          <w:szCs w:val="28"/>
        </w:rPr>
      </w:pPr>
    </w:p>
    <w:p>
      <w:pPr>
        <w:pStyle w:val="2"/>
        <w:ind w:firstLine="560"/>
        <w:rPr>
          <w:rFonts w:hint="eastAsia"/>
        </w:rPr>
      </w:pPr>
    </w:p>
    <w:p>
      <w:pPr>
        <w:pStyle w:val="2"/>
        <w:ind w:firstLine="560"/>
        <w:rPr>
          <w:rFonts w:hint="eastAsia"/>
        </w:rPr>
      </w:pPr>
    </w:p>
    <w:p>
      <w:pPr>
        <w:pStyle w:val="2"/>
        <w:ind w:firstLine="560"/>
        <w:rPr>
          <w:rFonts w:hint="eastAsia"/>
        </w:rPr>
      </w:pPr>
    </w:p>
    <w:p>
      <w:pPr>
        <w:pStyle w:val="2"/>
        <w:ind w:firstLine="560"/>
        <w:rPr>
          <w:rFonts w:hint="eastAsia"/>
        </w:rPr>
      </w:pPr>
    </w:p>
    <w:p>
      <w:pPr>
        <w:pStyle w:val="2"/>
        <w:ind w:firstLine="560"/>
        <w:rPr>
          <w:rFonts w:hint="eastAsia"/>
        </w:rPr>
      </w:pPr>
    </w:p>
    <w:p>
      <w:pPr>
        <w:pStyle w:val="2"/>
        <w:ind w:firstLine="560"/>
      </w:pPr>
    </w:p>
    <w:p>
      <w:pPr>
        <w:spacing w:line="360" w:lineRule="auto"/>
        <w:jc w:val="right"/>
        <w:rPr>
          <w:sz w:val="28"/>
          <w:szCs w:val="28"/>
        </w:rPr>
      </w:pPr>
      <w:r>
        <w:rPr>
          <w:sz w:val="28"/>
          <w:szCs w:val="28"/>
        </w:rPr>
        <w:t>莘县韵琪五金建材有限公司验收组</w:t>
      </w:r>
    </w:p>
    <w:p>
      <w:pPr>
        <w:spacing w:line="360" w:lineRule="auto"/>
        <w:jc w:val="right"/>
        <w:rPr>
          <w:sz w:val="28"/>
          <w:szCs w:val="28"/>
        </w:rPr>
      </w:pPr>
      <w:r>
        <w:rPr>
          <w:rFonts w:eastAsia="楷体"/>
          <w:sz w:val="28"/>
          <w:szCs w:val="28"/>
        </w:rPr>
        <w:t xml:space="preserve">                                </w:t>
      </w:r>
      <w:r>
        <w:rPr>
          <w:sz w:val="28"/>
          <w:szCs w:val="28"/>
        </w:rPr>
        <w:t>2020</w:t>
      </w:r>
      <w:r>
        <w:rPr>
          <w:rFonts w:hAnsi="宋体"/>
          <w:sz w:val="28"/>
          <w:szCs w:val="28"/>
        </w:rPr>
        <w:t>年</w:t>
      </w:r>
      <w:r>
        <w:rPr>
          <w:sz w:val="28"/>
          <w:szCs w:val="28"/>
        </w:rPr>
        <w:t>11</w:t>
      </w:r>
      <w:r>
        <w:rPr>
          <w:rFonts w:hAnsi="宋体"/>
          <w:sz w:val="28"/>
          <w:szCs w:val="28"/>
        </w:rPr>
        <w:t>月</w:t>
      </w:r>
      <w:r>
        <w:rPr>
          <w:sz w:val="28"/>
          <w:szCs w:val="28"/>
        </w:rPr>
        <w:t>1</w:t>
      </w:r>
      <w:r>
        <w:rPr>
          <w:rFonts w:hAnsi="宋体"/>
          <w:sz w:val="28"/>
          <w:szCs w:val="28"/>
        </w:rPr>
        <w:t>日</w:t>
      </w:r>
    </w:p>
    <w:p>
      <w:pPr>
        <w:rPr>
          <w:rFonts w:eastAsia="楷体"/>
          <w:sz w:val="24"/>
        </w:rPr>
      </w:pPr>
    </w:p>
    <w:p>
      <w:pPr>
        <w:pStyle w:val="2"/>
        <w:ind w:firstLine="560"/>
        <w:rPr>
          <w:rFonts w:ascii="Times New Roman" w:hAnsi="Times New Roman"/>
        </w:rPr>
      </w:pPr>
      <w:bookmarkStart w:id="0" w:name="_GoBack"/>
      <w:bookmarkEnd w:id="0"/>
    </w:p>
    <w:p>
      <w:pPr>
        <w:pStyle w:val="2"/>
        <w:ind w:firstLine="560"/>
        <w:rPr>
          <w:rFonts w:ascii="Times New Roman" w:hAnsi="Times New Roman"/>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418" w:bottom="1440" w:left="1418" w:header="567" w:footer="794"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abs>
        <w:tab w:val="center" w:pos="4535"/>
        <w:tab w:val="clear" w:pos="4153"/>
      </w:tabs>
    </w:pPr>
    <w:r>
      <w:rPr>
        <w:sz w:val="18"/>
      </w:rPr>
      <w:pict>
        <v:shape id="_x0000_s2049" o:spid="_x0000_s2049"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8"/>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v:textbox>
        </v:shape>
      </w:pict>
    </w: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2"/>
    </o:shapelayout>
  </w:hdrShapeDefaults>
  <w:compat>
    <w:spaceForUL/>
    <w:balanceSingleByteDoubleByteWidth/>
    <w:doNotLeaveBackslashAlone/>
    <w:ulTrailSpace/>
    <w:doNotExpandShiftReturn/>
    <w:adjustLineHeightInTable/>
    <w:useFELayout/>
    <w:underlineTabInNumList/>
    <w:compatSetting w:name="compatibilityMode" w:uri="http://schemas.microsoft.com/office/word" w:val="12"/>
  </w:compat>
  <w:rsids>
    <w:rsidRoot w:val="00752F3F"/>
    <w:rsid w:val="00007203"/>
    <w:rsid w:val="00015DD7"/>
    <w:rsid w:val="00031A87"/>
    <w:rsid w:val="00057AE6"/>
    <w:rsid w:val="00062BC5"/>
    <w:rsid w:val="000C4E79"/>
    <w:rsid w:val="000C5D2E"/>
    <w:rsid w:val="001777C5"/>
    <w:rsid w:val="001F5121"/>
    <w:rsid w:val="0021059E"/>
    <w:rsid w:val="00216D12"/>
    <w:rsid w:val="00233D50"/>
    <w:rsid w:val="0026170E"/>
    <w:rsid w:val="002C28ED"/>
    <w:rsid w:val="002C493C"/>
    <w:rsid w:val="002C6AA5"/>
    <w:rsid w:val="0031015F"/>
    <w:rsid w:val="003313B6"/>
    <w:rsid w:val="00340B0A"/>
    <w:rsid w:val="00364672"/>
    <w:rsid w:val="003D58AD"/>
    <w:rsid w:val="0040329E"/>
    <w:rsid w:val="00515926"/>
    <w:rsid w:val="0052375F"/>
    <w:rsid w:val="0056014E"/>
    <w:rsid w:val="00574C7A"/>
    <w:rsid w:val="00592F1E"/>
    <w:rsid w:val="005A4A68"/>
    <w:rsid w:val="005A67AA"/>
    <w:rsid w:val="005D05BA"/>
    <w:rsid w:val="005E5F6F"/>
    <w:rsid w:val="00601A89"/>
    <w:rsid w:val="00617CA2"/>
    <w:rsid w:val="0063240F"/>
    <w:rsid w:val="006B4E83"/>
    <w:rsid w:val="006D600D"/>
    <w:rsid w:val="006E0A71"/>
    <w:rsid w:val="00704C1C"/>
    <w:rsid w:val="00752F3F"/>
    <w:rsid w:val="007621BC"/>
    <w:rsid w:val="007A0F96"/>
    <w:rsid w:val="007B286E"/>
    <w:rsid w:val="007E23B4"/>
    <w:rsid w:val="007F2189"/>
    <w:rsid w:val="007F513F"/>
    <w:rsid w:val="00843134"/>
    <w:rsid w:val="008D13B7"/>
    <w:rsid w:val="008F366D"/>
    <w:rsid w:val="00965CD8"/>
    <w:rsid w:val="009722EA"/>
    <w:rsid w:val="00972A42"/>
    <w:rsid w:val="009A57EA"/>
    <w:rsid w:val="009A73D2"/>
    <w:rsid w:val="009E04DC"/>
    <w:rsid w:val="009F3080"/>
    <w:rsid w:val="00A21740"/>
    <w:rsid w:val="00A21ADD"/>
    <w:rsid w:val="00A24CA0"/>
    <w:rsid w:val="00A36E7B"/>
    <w:rsid w:val="00A411AF"/>
    <w:rsid w:val="00A56BA9"/>
    <w:rsid w:val="00B0594C"/>
    <w:rsid w:val="00B32D49"/>
    <w:rsid w:val="00BC7155"/>
    <w:rsid w:val="00C5501F"/>
    <w:rsid w:val="00CB42D6"/>
    <w:rsid w:val="00CB6CBD"/>
    <w:rsid w:val="00CC379B"/>
    <w:rsid w:val="00CD21C1"/>
    <w:rsid w:val="00CD70C8"/>
    <w:rsid w:val="00CF7AD8"/>
    <w:rsid w:val="00D4655E"/>
    <w:rsid w:val="00D6473E"/>
    <w:rsid w:val="00DA3092"/>
    <w:rsid w:val="00DE4D88"/>
    <w:rsid w:val="00E115D3"/>
    <w:rsid w:val="00E3735B"/>
    <w:rsid w:val="00E724CE"/>
    <w:rsid w:val="00E73B96"/>
    <w:rsid w:val="00E941A2"/>
    <w:rsid w:val="00EF0FDC"/>
    <w:rsid w:val="00F056C7"/>
    <w:rsid w:val="00F10FE7"/>
    <w:rsid w:val="00F45902"/>
    <w:rsid w:val="00F86E3A"/>
    <w:rsid w:val="00FB3D28"/>
    <w:rsid w:val="00FC25EE"/>
    <w:rsid w:val="00FD3AA5"/>
    <w:rsid w:val="00FD5D44"/>
    <w:rsid w:val="00FE23E9"/>
    <w:rsid w:val="00FF3832"/>
    <w:rsid w:val="00FF647F"/>
    <w:rsid w:val="02170638"/>
    <w:rsid w:val="04334B5D"/>
    <w:rsid w:val="048F6451"/>
    <w:rsid w:val="04E4350F"/>
    <w:rsid w:val="069A05FE"/>
    <w:rsid w:val="06A72DCB"/>
    <w:rsid w:val="080C1189"/>
    <w:rsid w:val="08516DB8"/>
    <w:rsid w:val="08AF225F"/>
    <w:rsid w:val="0AD52D3C"/>
    <w:rsid w:val="0B3710F6"/>
    <w:rsid w:val="0C2835D4"/>
    <w:rsid w:val="0D6841AF"/>
    <w:rsid w:val="11C63CC0"/>
    <w:rsid w:val="15B76792"/>
    <w:rsid w:val="16280FDC"/>
    <w:rsid w:val="17B66550"/>
    <w:rsid w:val="180C1CE4"/>
    <w:rsid w:val="1887595F"/>
    <w:rsid w:val="188E2022"/>
    <w:rsid w:val="1A1158EF"/>
    <w:rsid w:val="1B5934FA"/>
    <w:rsid w:val="1CCD7FA6"/>
    <w:rsid w:val="1D557948"/>
    <w:rsid w:val="1EB23C92"/>
    <w:rsid w:val="1F9C28CF"/>
    <w:rsid w:val="211B5472"/>
    <w:rsid w:val="226B0E09"/>
    <w:rsid w:val="22BA54AB"/>
    <w:rsid w:val="23403DB4"/>
    <w:rsid w:val="255147A5"/>
    <w:rsid w:val="25562AED"/>
    <w:rsid w:val="283C5140"/>
    <w:rsid w:val="29573470"/>
    <w:rsid w:val="2CBE39A9"/>
    <w:rsid w:val="2D8B56A2"/>
    <w:rsid w:val="2DCE575E"/>
    <w:rsid w:val="2F3C4ED9"/>
    <w:rsid w:val="2F45678C"/>
    <w:rsid w:val="2FA55A34"/>
    <w:rsid w:val="32C700BB"/>
    <w:rsid w:val="3398641F"/>
    <w:rsid w:val="34821CCF"/>
    <w:rsid w:val="36331A3E"/>
    <w:rsid w:val="36991215"/>
    <w:rsid w:val="3BA24A74"/>
    <w:rsid w:val="3C9D29D7"/>
    <w:rsid w:val="3DA077DE"/>
    <w:rsid w:val="3E407687"/>
    <w:rsid w:val="3E5C226F"/>
    <w:rsid w:val="40516DBF"/>
    <w:rsid w:val="41132EB2"/>
    <w:rsid w:val="446019CC"/>
    <w:rsid w:val="48027DC9"/>
    <w:rsid w:val="48D2263D"/>
    <w:rsid w:val="49143F5A"/>
    <w:rsid w:val="49387C4F"/>
    <w:rsid w:val="4AC47AEB"/>
    <w:rsid w:val="4B423993"/>
    <w:rsid w:val="4BD0179C"/>
    <w:rsid w:val="4E3308C7"/>
    <w:rsid w:val="51654CA1"/>
    <w:rsid w:val="51E414C7"/>
    <w:rsid w:val="54CD54A4"/>
    <w:rsid w:val="55424CCC"/>
    <w:rsid w:val="57AD542C"/>
    <w:rsid w:val="58E11F1F"/>
    <w:rsid w:val="59581022"/>
    <w:rsid w:val="5BC26D6F"/>
    <w:rsid w:val="5BED7335"/>
    <w:rsid w:val="5C687BD7"/>
    <w:rsid w:val="5EE4209E"/>
    <w:rsid w:val="601870FA"/>
    <w:rsid w:val="60912840"/>
    <w:rsid w:val="610C2771"/>
    <w:rsid w:val="610F079A"/>
    <w:rsid w:val="61B05463"/>
    <w:rsid w:val="62915A06"/>
    <w:rsid w:val="64D951B9"/>
    <w:rsid w:val="66DB6D33"/>
    <w:rsid w:val="694738C3"/>
    <w:rsid w:val="6A1A42F1"/>
    <w:rsid w:val="6C935275"/>
    <w:rsid w:val="6DCC18C9"/>
    <w:rsid w:val="6F5619E0"/>
    <w:rsid w:val="719373A8"/>
    <w:rsid w:val="74234EB6"/>
    <w:rsid w:val="747F6622"/>
    <w:rsid w:val="74B131B4"/>
    <w:rsid w:val="77F141D8"/>
    <w:rsid w:val="78317827"/>
    <w:rsid w:val="793830BA"/>
    <w:rsid w:val="7DCF7863"/>
    <w:rsid w:val="7DE11416"/>
    <w:rsid w:val="7E28475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sdException w:uiPriority="99" w:name="footnote text"/>
    <w:lsdException w:qFormat="1" w:uiPriority="0" w:semiHidden="0"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99"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sz w:val="28"/>
      <w:szCs w:val="28"/>
    </w:rPr>
  </w:style>
  <w:style w:type="paragraph" w:styleId="3">
    <w:name w:val="Normal Indent"/>
    <w:basedOn w:val="1"/>
    <w:qFormat/>
    <w:uiPriority w:val="0"/>
    <w:pPr>
      <w:ind w:firstLine="420" w:firstLineChars="200"/>
    </w:pPr>
  </w:style>
  <w:style w:type="paragraph" w:styleId="4">
    <w:name w:val="annotation text"/>
    <w:basedOn w:val="1"/>
    <w:link w:val="23"/>
    <w:unhideWhenUsed/>
    <w:qFormat/>
    <w:uiPriority w:val="0"/>
    <w:pPr>
      <w:jc w:val="left"/>
    </w:pPr>
  </w:style>
  <w:style w:type="paragraph" w:styleId="5">
    <w:name w:val="Body Text Indent"/>
    <w:basedOn w:val="1"/>
    <w:qFormat/>
    <w:uiPriority w:val="0"/>
    <w:pPr>
      <w:ind w:right="-100" w:firstLine="560" w:firstLineChars="200"/>
    </w:pPr>
    <w:rPr>
      <w:sz w:val="28"/>
    </w:rPr>
  </w:style>
  <w:style w:type="paragraph" w:styleId="6">
    <w:name w:val="Plain Text"/>
    <w:basedOn w:val="1"/>
    <w:semiHidden/>
    <w:unhideWhenUsed/>
    <w:qFormat/>
    <w:uiPriority w:val="99"/>
    <w:rPr>
      <w:rFonts w:ascii="宋体" w:hAnsi="Courier New" w:cs="Courier New"/>
      <w:szCs w:val="21"/>
    </w:rPr>
  </w:style>
  <w:style w:type="paragraph" w:styleId="7">
    <w:name w:val="Balloon Text"/>
    <w:basedOn w:val="1"/>
    <w:link w:val="21"/>
    <w:semiHidden/>
    <w:unhideWhenUsed/>
    <w:qFormat/>
    <w:uiPriority w:val="99"/>
    <w:rPr>
      <w:sz w:val="18"/>
      <w:szCs w:val="18"/>
    </w:rPr>
  </w:style>
  <w:style w:type="paragraph" w:styleId="8">
    <w:name w:val="footer"/>
    <w:basedOn w:val="1"/>
    <w:link w:val="16"/>
    <w:semiHidden/>
    <w:qFormat/>
    <w:uiPriority w:val="99"/>
    <w:pPr>
      <w:tabs>
        <w:tab w:val="center" w:pos="4153"/>
        <w:tab w:val="right" w:pos="8306"/>
      </w:tabs>
      <w:snapToGrid w:val="0"/>
      <w:jc w:val="left"/>
    </w:pPr>
    <w:rPr>
      <w:sz w:val="18"/>
      <w:szCs w:val="18"/>
    </w:rPr>
  </w:style>
  <w:style w:type="paragraph" w:styleId="9">
    <w:name w:val="header"/>
    <w:basedOn w:val="1"/>
    <w:link w:val="15"/>
    <w:semiHidden/>
    <w:qFormat/>
    <w:uiPriority w:val="99"/>
    <w:pPr>
      <w:pBdr>
        <w:bottom w:val="single" w:color="auto" w:sz="6" w:space="1"/>
      </w:pBdr>
      <w:tabs>
        <w:tab w:val="center" w:pos="4153"/>
        <w:tab w:val="right" w:pos="8306"/>
      </w:tabs>
      <w:snapToGrid w:val="0"/>
      <w:jc w:val="center"/>
    </w:pPr>
    <w:rPr>
      <w:sz w:val="18"/>
      <w:szCs w:val="18"/>
    </w:rPr>
  </w:style>
  <w:style w:type="paragraph" w:styleId="10">
    <w:name w:val="Body Text First Indent 2"/>
    <w:basedOn w:val="5"/>
    <w:qFormat/>
    <w:uiPriority w:val="0"/>
    <w:pPr>
      <w:ind w:firstLine="420"/>
    </w:pPr>
  </w:style>
  <w:style w:type="table" w:styleId="12">
    <w:name w:val="Table Grid"/>
    <w:basedOn w:val="11"/>
    <w:qFormat/>
    <w:locked/>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4">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character" w:customStyle="1" w:styleId="15">
    <w:name w:val="页眉 Char"/>
    <w:basedOn w:val="13"/>
    <w:link w:val="9"/>
    <w:semiHidden/>
    <w:qFormat/>
    <w:locked/>
    <w:uiPriority w:val="99"/>
    <w:rPr>
      <w:rFonts w:cs="Times New Roman"/>
      <w:sz w:val="18"/>
      <w:szCs w:val="18"/>
    </w:rPr>
  </w:style>
  <w:style w:type="character" w:customStyle="1" w:styleId="16">
    <w:name w:val="页脚 Char"/>
    <w:basedOn w:val="13"/>
    <w:link w:val="8"/>
    <w:semiHidden/>
    <w:qFormat/>
    <w:locked/>
    <w:uiPriority w:val="99"/>
    <w:rPr>
      <w:rFonts w:cs="Times New Roman"/>
      <w:sz w:val="18"/>
      <w:szCs w:val="18"/>
    </w:rPr>
  </w:style>
  <w:style w:type="paragraph" w:styleId="17">
    <w:name w:val="List Paragraph"/>
    <w:basedOn w:val="1"/>
    <w:qFormat/>
    <w:uiPriority w:val="99"/>
    <w:pPr>
      <w:ind w:firstLine="420" w:firstLineChars="200"/>
    </w:pPr>
  </w:style>
  <w:style w:type="character" w:customStyle="1" w:styleId="18">
    <w:name w:val="正1 Char"/>
    <w:link w:val="19"/>
    <w:qFormat/>
    <w:locked/>
    <w:uiPriority w:val="99"/>
    <w:rPr>
      <w:rFonts w:eastAsia="楷体_GB2312"/>
      <w:sz w:val="24"/>
    </w:rPr>
  </w:style>
  <w:style w:type="paragraph" w:customStyle="1" w:styleId="19">
    <w:name w:val="正1"/>
    <w:basedOn w:val="1"/>
    <w:link w:val="18"/>
    <w:qFormat/>
    <w:uiPriority w:val="99"/>
    <w:pPr>
      <w:spacing w:line="360" w:lineRule="auto"/>
      <w:ind w:firstLine="200" w:firstLineChars="200"/>
      <w:jc w:val="left"/>
    </w:pPr>
    <w:rPr>
      <w:rFonts w:ascii="Calibri" w:hAnsi="Calibri" w:eastAsia="楷体_GB2312"/>
      <w:kern w:val="0"/>
      <w:sz w:val="24"/>
    </w:rPr>
  </w:style>
  <w:style w:type="paragraph" w:customStyle="1" w:styleId="20">
    <w:name w:val="Char Char Char Char Char Char Char"/>
    <w:basedOn w:val="1"/>
    <w:qFormat/>
    <w:uiPriority w:val="99"/>
  </w:style>
  <w:style w:type="character" w:customStyle="1" w:styleId="21">
    <w:name w:val="批注框文本 Char"/>
    <w:basedOn w:val="13"/>
    <w:link w:val="7"/>
    <w:semiHidden/>
    <w:qFormat/>
    <w:uiPriority w:val="99"/>
    <w:rPr>
      <w:rFonts w:ascii="Times New Roman" w:hAnsi="Times New Roman"/>
      <w:kern w:val="2"/>
      <w:sz w:val="18"/>
      <w:szCs w:val="18"/>
    </w:rPr>
  </w:style>
  <w:style w:type="paragraph" w:customStyle="1" w:styleId="22">
    <w:name w:val="报告表正文"/>
    <w:basedOn w:val="1"/>
    <w:qFormat/>
    <w:uiPriority w:val="0"/>
    <w:pPr>
      <w:tabs>
        <w:tab w:val="left" w:pos="7560"/>
      </w:tabs>
      <w:adjustRightInd w:val="0"/>
      <w:spacing w:line="360" w:lineRule="auto"/>
      <w:ind w:firstLine="480" w:firstLineChars="200"/>
    </w:pPr>
    <w:rPr>
      <w:bCs/>
      <w:sz w:val="24"/>
    </w:rPr>
  </w:style>
  <w:style w:type="character" w:customStyle="1" w:styleId="23">
    <w:name w:val="批注文字 Char"/>
    <w:basedOn w:val="13"/>
    <w:link w:val="4"/>
    <w:qFormat/>
    <w:uiPriority w:val="0"/>
    <w:rPr>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Info spid="_x0000_s1031"/>
    <customShpInfo spid="_x0000_s1030"/>
    <customShpInfo spid="_x0000_s1037"/>
    <customShpInfo spid="_x0000_s103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417</Words>
  <Characters>2380</Characters>
  <Lines>19</Lines>
  <Paragraphs>5</Paragraphs>
  <TotalTime>1</TotalTime>
  <ScaleCrop>false</ScaleCrop>
  <LinksUpToDate>false</LinksUpToDate>
  <CharactersWithSpaces>2792</CharactersWithSpaces>
  <Application>WPS Office_11.1.0.9929_F1E327BC-269C-435d-A152-05C5408002CA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2018-02-05T11:03:00Z</dcterms:created>
  <dc:creator>微软用户</dc:creator>
  <cp:lastModifiedBy>Administrator</cp:lastModifiedBy>
  <cp:lastPrinted>2020-11-14T08:39:00Z</cp:lastPrinted>
  <dcterms:modified xsi:type="dcterms:W3CDTF">2020-11-28T07:31:46Z</dcterms:modified>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2052-11.1.0.9929</vt:lpwstr>
  </property>
</Properties>
</file>