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9" w:leftChars="0" w:hanging="19" w:hangingChars="6"/>
        <w:jc w:val="center"/>
        <w:textAlignment w:val="auto"/>
        <w:rPr>
          <w:rFonts w:hint="default" w:ascii="Times New Roman" w:hAnsi="Times New Roman" w:eastAsia="宋体" w:cs="Times New Roman"/>
          <w:b/>
          <w:color w:val="auto"/>
          <w:sz w:val="32"/>
          <w:szCs w:val="32"/>
          <w:lang w:val="en-US" w:eastAsia="zh-CN"/>
        </w:rPr>
      </w:pPr>
      <w:r>
        <w:rPr>
          <w:rFonts w:hint="eastAsia" w:cs="Times New Roman"/>
          <w:b/>
          <w:color w:val="auto"/>
          <w:sz w:val="32"/>
          <w:szCs w:val="32"/>
          <w:lang w:val="en-US" w:eastAsia="zh-CN"/>
        </w:rPr>
        <w:t>东阿县锦昌钢球有限公司年加工900吨钢球项目</w:t>
      </w:r>
      <w:r>
        <w:rPr>
          <w:rFonts w:hint="default" w:ascii="Times New Roman" w:hAnsi="Times New Roman" w:eastAsia="宋体" w:cs="Times New Roman"/>
          <w:b/>
          <w:color w:val="auto"/>
          <w:sz w:val="32"/>
          <w:szCs w:val="32"/>
          <w:lang w:val="en-US" w:eastAsia="zh-CN"/>
        </w:rPr>
        <w:t>（一期）</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9" w:leftChars="0" w:hanging="19" w:hangingChars="6"/>
        <w:jc w:val="center"/>
        <w:textAlignment w:val="auto"/>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keepNext w:val="0"/>
        <w:keepLines w:val="0"/>
        <w:pageBreakBefore w:val="0"/>
        <w:widowControl w:val="0"/>
        <w:tabs>
          <w:tab w:val="left" w:pos="0"/>
        </w:tabs>
        <w:kinsoku/>
        <w:wordWrap/>
        <w:overflowPunct/>
        <w:topLinePunct w:val="0"/>
        <w:autoSpaceDE/>
        <w:autoSpaceDN/>
        <w:bidi w:val="0"/>
        <w:adjustRightInd w:val="0"/>
        <w:snapToGrid w:val="0"/>
        <w:spacing w:line="24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东阿县锦昌钢球有限公司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年加工900吨钢球项目</w:t>
      </w:r>
      <w:r>
        <w:rPr>
          <w:rFonts w:hint="default" w:ascii="Times New Roman" w:hAnsi="Times New Roman" w:eastAsia="宋体" w:cs="Times New Roman"/>
          <w:color w:val="auto"/>
          <w:sz w:val="24"/>
          <w:szCs w:val="24"/>
          <w:highlight w:val="none"/>
          <w:lang w:val="en-US" w:eastAsia="zh-CN"/>
        </w:rPr>
        <w:t>（一期）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东阿县锦昌钢球有限公司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东阿县锦昌钢球有限公司，法定代表人郭杰，公司位于山东省聊城市东阿县姜楼镇姜楼村南200米路南，占地面积3705m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，预计总投资914万元，建设厂房，进行年加工900吨钢球项目。</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由于企业资金问题，实际设备数量比环评设计数量较少，项目分期验收，本次验收为一期，投资460万元，生产规模为年加工500吨钢球。</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（二）环保审批情况</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验收为新建项目。2018年11月东阿县锦昌钢球有限公司委托青岛洁瑞环保技术服务有限公司编制了《东阿县锦昌钢球有限公司年加工900吨钢球项目环境影响报告表》，2019年1月16日东阿县环境保护局以东环报告表[2019]4号对其进行了审批。现有建设内容具备年加工500吨钢球产能。</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2020年12月公司委托山东聊和环保科技有限公司进行该项目一期的环保验收监测工作，接受委托后山东聊和环保科技有限公司组织有关技术人员进行现场踏勘，依据监测技术规范制定了一期环保验收监测方案，并于2020年12月03日-04日对该企业进行了验收监测，根据一期验收监测结果和现场检查情况编制了本项目一期验收监测报告。</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（三）投资情况</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实际总投资</w:t>
      </w:r>
      <w:r>
        <w:rPr>
          <w:rFonts w:hint="eastAsia" w:cs="Times New Roman"/>
          <w:color w:val="auto"/>
          <w:sz w:val="24"/>
          <w:szCs w:val="24"/>
          <w:highlight w:val="none"/>
          <w:lang w:val="en-US" w:eastAsia="zh-CN"/>
        </w:rPr>
        <w:t>510</w:t>
      </w:r>
      <w:r>
        <w:rPr>
          <w:rFonts w:hint="default" w:ascii="Times New Roman" w:hAnsi="Times New Roman" w:eastAsia="宋体" w:cs="Times New Roman"/>
          <w:color w:val="auto"/>
          <w:sz w:val="24"/>
          <w:szCs w:val="24"/>
          <w:highlight w:val="none"/>
          <w:lang w:val="en-US" w:eastAsia="zh-CN"/>
        </w:rPr>
        <w:t>万</w:t>
      </w:r>
      <w:r>
        <w:rPr>
          <w:rFonts w:hint="default" w:ascii="Times New Roman" w:hAnsi="Times New Roman" w:eastAsia="宋体" w:cs="Times New Roman"/>
          <w:color w:val="auto"/>
          <w:sz w:val="24"/>
          <w:szCs w:val="24"/>
          <w:highlight w:val="none"/>
        </w:rPr>
        <w:t>元，其中环保投资</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（四）验收范围</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本次验收的范围为</w:t>
      </w:r>
      <w:r>
        <w:rPr>
          <w:rFonts w:hint="eastAsia" w:cs="Times New Roman"/>
          <w:color w:val="auto"/>
          <w:sz w:val="24"/>
          <w:szCs w:val="24"/>
          <w:highlight w:val="none"/>
          <w:lang w:val="en-US" w:eastAsia="zh-CN"/>
        </w:rPr>
        <w:t>年加工500吨钢球</w:t>
      </w:r>
      <w:r>
        <w:rPr>
          <w:rFonts w:hint="default" w:ascii="Times New Roman" w:hAnsi="Times New Roman" w:eastAsia="宋体" w:cs="Times New Roman"/>
          <w:color w:val="auto"/>
          <w:sz w:val="24"/>
          <w:szCs w:val="24"/>
          <w:highlight w:val="none"/>
          <w:lang w:val="en-US" w:eastAsia="zh-CN"/>
        </w:rPr>
        <w:t>生产设备</w:t>
      </w:r>
      <w:r>
        <w:rPr>
          <w:rFonts w:hint="default" w:ascii="Times New Roman" w:hAnsi="Times New Roman" w:eastAsia="宋体" w:cs="Times New Roman"/>
          <w:color w:val="auto"/>
          <w:sz w:val="24"/>
          <w:szCs w:val="24"/>
          <w:highlight w:val="none"/>
        </w:rPr>
        <w:t>及其配套环保设施。</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二、工程变更情况</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通过现场调查，对照环评报告及审批意见，项目性质、地点及环境保护措施均无变动。</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规模：由于企业资金问题，实际设备数量比环评设计数量较少，项目分期验收，本次验收为一期，生产规模为年加工500吨钢球。</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生产工艺：项目一期未购置冷镦机及强化机，原材料为冷镦球坯，故无冷镦废气及冷镦工序产生的金属屑、次品。项目新增两台洗球机及八台选球机，均属于辅助设备，且洗球用水循环使用，定期补充不外排。</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根据《关于印发污染影响类建设项目重大变动清单（试行）的通知》环办环评函〔2020〕688号，项目以上变动不涉及重大变动。</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三、</w:t>
      </w:r>
      <w:r>
        <w:rPr>
          <w:rFonts w:hint="default" w:ascii="Times New Roman" w:hAnsi="Times New Roman" w:eastAsia="宋体" w:cs="Times New Roman"/>
          <w:color w:val="auto"/>
          <w:sz w:val="24"/>
          <w:szCs w:val="24"/>
          <w:highlight w:val="none"/>
        </w:rPr>
        <w:t>环境保护设施落实情况</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（一）废水污染源及其治理措施</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本项目磨削液用水只消耗不排放，洗球废水经沉淀池处理后循环使用，不外排。因此，项目废水主要为员工的办公生活废水，经化粪池处理后定期清掏，不外排</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（二）废气污染源及其治理措施</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废气为淬火和防锈过程中产生的VOCs及少量研磨工序产生的颗粒物。淬火和防锈过程中产生的VOCs经集气罩收集和静电式油烟净化器处理后由15米高排气筒排放；未被收集的废气及少量研磨工序产生的颗粒物，经车间通风后无组织排放。</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（三）噪声</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本项目噪声源主要为研磨机、光球机等设备运行时产生的噪声。本项目设置基础减震等降噪措施，再加上厂房隔声、经距离衰减，降低对周围声环境的影响。</w:t>
      </w:r>
      <w:r>
        <w:rPr>
          <w:rFonts w:hint="default" w:ascii="Times New Roman" w:hAnsi="Times New Roman" w:eastAsia="宋体" w:cs="Times New Roman"/>
          <w:color w:val="auto"/>
          <w:sz w:val="24"/>
          <w:szCs w:val="24"/>
          <w:highlight w:val="none"/>
          <w:lang w:val="en-US" w:eastAsia="zh-CN"/>
        </w:rPr>
        <w:t xml:space="preserve"> </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（四）固体废物</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本项目产生的固体废物主要是光球工序产生的金属屑、次品，光球、研磨工序产生的铁泥；员工办公生活垃圾；淬火过程产生的泥渣、油烟净化器收集的废油。</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其中，金属屑、次品和铁泥收集后外售物资公司综合利用；生活垃圾由环卫部门定期清运；通过现场勘探，淬火过程产生的泥渣、油烟净化器收集的废油暂未产生，待产生后置于危废暂存间，并及时签订危废处置合同，委托有资质的单位进行处理。</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四、验收监测结果</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（一）环保设施运行检测结果</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山东聊和环保科技有限公司</w:t>
      </w:r>
      <w:r>
        <w:rPr>
          <w:rFonts w:hint="default" w:ascii="Times New Roman" w:hAnsi="Times New Roman" w:eastAsia="宋体" w:cs="Times New Roman"/>
          <w:color w:val="auto"/>
          <w:sz w:val="24"/>
          <w:szCs w:val="24"/>
          <w:highlight w:val="none"/>
        </w:rPr>
        <w:t>出具的《</w:t>
      </w:r>
      <w:r>
        <w:rPr>
          <w:rFonts w:hint="eastAsia" w:cs="Times New Roman"/>
          <w:color w:val="auto"/>
          <w:sz w:val="24"/>
          <w:szCs w:val="24"/>
          <w:highlight w:val="none"/>
          <w:lang w:val="en-US" w:eastAsia="zh-CN"/>
        </w:rPr>
        <w:t>东阿县锦昌钢球有限公司年加工900吨钢球项目</w:t>
      </w:r>
      <w:r>
        <w:rPr>
          <w:rFonts w:hint="default" w:ascii="Times New Roman" w:hAnsi="Times New Roman" w:eastAsia="宋体" w:cs="Times New Roman"/>
          <w:color w:val="auto"/>
          <w:sz w:val="24"/>
          <w:szCs w:val="24"/>
          <w:highlight w:val="none"/>
          <w:lang w:val="en-US" w:eastAsia="zh-CN"/>
        </w:rPr>
        <w:t>（一期）</w:t>
      </w:r>
      <w:r>
        <w:rPr>
          <w:rFonts w:hint="default" w:ascii="Times New Roman" w:hAnsi="Times New Roman" w:eastAsia="宋体" w:cs="Times New Roman"/>
          <w:color w:val="auto"/>
          <w:sz w:val="24"/>
          <w:szCs w:val="24"/>
          <w:highlight w:val="none"/>
        </w:rPr>
        <w:t>竣工环境保护验收监测报告》监测结果表明：</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废水</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eastAsia="zh-CN"/>
        </w:rPr>
        <w:t>同上文三、（一</w:t>
      </w:r>
      <w:bookmarkStart w:id="0" w:name="_GoBack"/>
      <w:bookmarkEnd w:id="0"/>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废气</w:t>
      </w:r>
    </w:p>
    <w:p>
      <w:pPr>
        <w:pStyle w:val="14"/>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验收监测期间，有组织VOCs最高排放浓度为0.</w:t>
      </w:r>
      <w:r>
        <w:rPr>
          <w:rFonts w:hint="default" w:ascii="Times New Roman" w:hAnsi="Times New Roman" w:cs="Times New Roman"/>
          <w:color w:val="auto"/>
          <w:sz w:val="24"/>
          <w:szCs w:val="24"/>
          <w:lang w:val="en-US" w:eastAsia="zh-CN"/>
        </w:rPr>
        <w:t>47</w:t>
      </w:r>
      <w:r>
        <w:rPr>
          <w:rFonts w:hint="default" w:ascii="Times New Roman" w:hAnsi="Times New Roman" w:cs="Times New Roman"/>
          <w:color w:val="auto"/>
          <w:sz w:val="24"/>
          <w:szCs w:val="24"/>
        </w:rPr>
        <w:t>mg/m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，排放速率最高为</w:t>
      </w:r>
      <w:r>
        <w:rPr>
          <w:rFonts w:hint="default" w:ascii="Times New Roman" w:hAnsi="Times New Roman" w:cs="Times New Roman"/>
          <w:color w:val="auto"/>
          <w:sz w:val="24"/>
          <w:szCs w:val="24"/>
          <w:lang w:val="en-US" w:eastAsia="zh-CN"/>
        </w:rPr>
        <w:t>4.1</w:t>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kg/h，满足《挥发性有机物排放标准 第7部分：其他行业》（DB37/2801.7-2019）表1相关标准。</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bCs/>
          <w:color w:val="auto"/>
          <w:sz w:val="24"/>
          <w:szCs w:val="24"/>
        </w:rPr>
        <w:t>无组织颗粒物小时浓度最高为0.2</w:t>
      </w:r>
      <w:r>
        <w:rPr>
          <w:rFonts w:hint="default" w:ascii="Times New Roman" w:hAnsi="Times New Roman" w:cs="Times New Roman"/>
          <w:bCs/>
          <w:color w:val="auto"/>
          <w:sz w:val="24"/>
          <w:szCs w:val="24"/>
          <w:lang w:val="en-US" w:eastAsia="zh-CN"/>
        </w:rPr>
        <w:t>66</w:t>
      </w:r>
      <w:r>
        <w:rPr>
          <w:rFonts w:hint="default" w:ascii="Times New Roman" w:hAnsi="Times New Roman" w:cs="Times New Roman"/>
          <w:bCs/>
          <w:color w:val="auto"/>
          <w:sz w:val="24"/>
          <w:szCs w:val="24"/>
        </w:rPr>
        <w:t>mg/m</w:t>
      </w:r>
      <w:r>
        <w:rPr>
          <w:rFonts w:hint="default" w:ascii="Times New Roman" w:hAnsi="Times New Roman" w:cs="Times New Roman"/>
          <w:bCs/>
          <w:color w:val="auto"/>
          <w:sz w:val="24"/>
          <w:szCs w:val="24"/>
          <w:vertAlign w:val="superscript"/>
        </w:rPr>
        <w:t>3</w:t>
      </w:r>
      <w:r>
        <w:rPr>
          <w:rFonts w:hint="default" w:ascii="Times New Roman" w:hAnsi="Times New Roman" w:cs="Times New Roman"/>
          <w:bCs/>
          <w:color w:val="auto"/>
          <w:sz w:val="24"/>
          <w:szCs w:val="24"/>
        </w:rPr>
        <w:t>，满足《大气污染物综合排放标准》表2中颗粒物浓度限值</w:t>
      </w:r>
      <w:r>
        <w:rPr>
          <w:rFonts w:hint="default" w:ascii="Times New Roman" w:hAnsi="Times New Roman" w:cs="Times New Roman"/>
          <w:color w:val="auto"/>
          <w:sz w:val="24"/>
          <w:szCs w:val="24"/>
          <w:lang w:eastAsia="zh-CN"/>
        </w:rPr>
        <w:t>；</w:t>
      </w:r>
      <w:r>
        <w:rPr>
          <w:rFonts w:hint="default" w:ascii="Times New Roman" w:hAnsi="Times New Roman" w:cs="Times New Roman"/>
          <w:bCs/>
          <w:color w:val="auto"/>
          <w:sz w:val="24"/>
          <w:szCs w:val="24"/>
        </w:rPr>
        <w:t>无组织VOCs小时浓度最高为0.</w:t>
      </w:r>
      <w:r>
        <w:rPr>
          <w:rFonts w:hint="default" w:ascii="Times New Roman" w:hAnsi="Times New Roman" w:cs="Times New Roman"/>
          <w:bCs/>
          <w:color w:val="auto"/>
          <w:sz w:val="24"/>
          <w:szCs w:val="24"/>
          <w:lang w:val="en-US" w:eastAsia="zh-CN"/>
        </w:rPr>
        <w:t>31</w:t>
      </w:r>
      <w:r>
        <w:rPr>
          <w:rFonts w:hint="default" w:ascii="Times New Roman" w:hAnsi="Times New Roman" w:cs="Times New Roman"/>
          <w:bCs/>
          <w:color w:val="auto"/>
          <w:sz w:val="24"/>
          <w:szCs w:val="24"/>
        </w:rPr>
        <w:t>mg/m</w:t>
      </w:r>
      <w:r>
        <w:rPr>
          <w:rFonts w:hint="default" w:ascii="Times New Roman" w:hAnsi="Times New Roman" w:cs="Times New Roman"/>
          <w:bCs/>
          <w:color w:val="auto"/>
          <w:sz w:val="24"/>
          <w:szCs w:val="24"/>
          <w:vertAlign w:val="superscript"/>
        </w:rPr>
        <w:t>3</w:t>
      </w:r>
      <w:r>
        <w:rPr>
          <w:rFonts w:hint="default" w:ascii="Times New Roman" w:hAnsi="Times New Roman" w:cs="Times New Roman"/>
          <w:bCs/>
          <w:color w:val="auto"/>
          <w:sz w:val="24"/>
          <w:szCs w:val="24"/>
        </w:rPr>
        <w:t>，满足《挥发性有机物排放标准 第7部分：其他行业》表2限值</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噪声</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验收监测期间，监测点位昼间噪声在53.9dB(A)-57.1dB(A)之间，夜间不生产，符合《工业企业厂界环境噪声排放标准》（GB12348－2008）中的2类标准限值。</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固体废物</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同上文三、（四）</w:t>
      </w:r>
      <w:r>
        <w:rPr>
          <w:rFonts w:hint="default" w:ascii="Times New Roman" w:hAnsi="Times New Roman" w:eastAsia="宋体" w:cs="Times New Roman"/>
          <w:color w:val="auto"/>
          <w:sz w:val="24"/>
          <w:szCs w:val="24"/>
          <w:highlight w:val="none"/>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（二）环境管理调查</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东阿县锦昌钢球有限公司</w:t>
      </w:r>
      <w:r>
        <w:rPr>
          <w:rFonts w:hint="default" w:ascii="Times New Roman" w:hAnsi="Times New Roman" w:eastAsia="宋体" w:cs="Times New Roman"/>
          <w:color w:val="auto"/>
          <w:sz w:val="24"/>
          <w:szCs w:val="24"/>
          <w:highlight w:val="none"/>
        </w:rPr>
        <w:t>制定了《</w:t>
      </w:r>
      <w:r>
        <w:rPr>
          <w:rFonts w:hint="eastAsia" w:cs="Times New Roman"/>
          <w:color w:val="auto"/>
          <w:sz w:val="24"/>
          <w:szCs w:val="24"/>
          <w:highlight w:val="none"/>
          <w:lang w:eastAsia="zh-CN"/>
        </w:rPr>
        <w:t>东阿县锦昌钢球有限公司</w:t>
      </w:r>
      <w:r>
        <w:rPr>
          <w:rFonts w:hint="default" w:ascii="Times New Roman" w:hAnsi="Times New Roman" w:eastAsia="宋体" w:cs="Times New Roman"/>
          <w:color w:val="auto"/>
          <w:sz w:val="24"/>
          <w:szCs w:val="24"/>
          <w:highlight w:val="none"/>
        </w:rPr>
        <w:t>环保管理制度》</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并设立了相关机构。日常工作由</w:t>
      </w:r>
      <w:r>
        <w:rPr>
          <w:rFonts w:hint="default" w:ascii="Times New Roman" w:hAnsi="Times New Roman" w:eastAsia="宋体" w:cs="Times New Roman"/>
          <w:color w:val="auto"/>
          <w:sz w:val="24"/>
          <w:szCs w:val="24"/>
          <w:highlight w:val="none"/>
          <w:lang w:eastAsia="zh-CN"/>
        </w:rPr>
        <w:t>办公室</w:t>
      </w:r>
      <w:r>
        <w:rPr>
          <w:rFonts w:hint="default" w:ascii="Times New Roman" w:hAnsi="Times New Roman" w:eastAsia="宋体" w:cs="Times New Roman"/>
          <w:color w:val="auto"/>
          <w:sz w:val="24"/>
          <w:szCs w:val="24"/>
          <w:highlight w:val="none"/>
        </w:rPr>
        <w:t>管理，其主要职责是：行使公司环保工作的计划、组织、指挥、协调、检查和考核管理职能，日常一切工作须对公司负责。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五、</w:t>
      </w:r>
      <w:r>
        <w:rPr>
          <w:rFonts w:hint="eastAsia" w:ascii="Times New Roman" w:hAnsi="Times New Roman" w:eastAsia="宋体" w:cs="Times New Roman"/>
          <w:color w:val="auto"/>
          <w:sz w:val="24"/>
          <w:szCs w:val="24"/>
          <w:highlight w:val="none"/>
          <w:lang w:eastAsia="zh-CN"/>
        </w:rPr>
        <w:t>现场问题及整改内容</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1.废气排气筒加设标识牌；</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2.危废暂存间门上玻璃加防护网，清理杂物，完善危废台账；</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3.泥渣须遮盖，不可露天堆放；</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4.防锈工序集气罩侧边加垂帘；</w:t>
      </w:r>
      <w:r>
        <w:rPr>
          <w:rFonts w:hint="default" w:ascii="Times New Roman" w:hAnsi="Times New Roman" w:eastAsia="宋体" w:cs="Times New Roman"/>
          <w:color w:val="auto"/>
          <w:sz w:val="24"/>
          <w:szCs w:val="24"/>
          <w:highlight w:val="none"/>
          <w:lang w:val="en-US" w:eastAsia="zh-CN"/>
        </w:rPr>
        <w:t>淬火</w:t>
      </w:r>
      <w:r>
        <w:rPr>
          <w:rFonts w:hint="eastAsia" w:cs="Times New Roman"/>
          <w:color w:val="auto"/>
          <w:sz w:val="24"/>
          <w:szCs w:val="24"/>
          <w:highlight w:val="none"/>
          <w:lang w:val="en-US" w:eastAsia="zh-CN"/>
        </w:rPr>
        <w:t>油池进一步密闭。</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六</w:t>
      </w:r>
      <w:r>
        <w:rPr>
          <w:rFonts w:hint="default" w:ascii="Times New Roman" w:hAnsi="Times New Roman" w:eastAsia="宋体" w:cs="Times New Roman"/>
          <w:color w:val="auto"/>
          <w:sz w:val="24"/>
          <w:szCs w:val="24"/>
          <w:highlight w:val="none"/>
        </w:rPr>
        <w:t>、验收结论</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2" w:firstLineChars="222"/>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鉴于项目符合国家和地方相关产业标准及准入要求，用地符合当地规划，环保设施与生产配套，验收期间各项监测指标满足国家相关排放标准，该项目通过环保验收。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5" w:firstLineChars="222"/>
        <w:jc w:val="righ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 xml:space="preserve">   </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5" w:firstLineChars="222"/>
        <w:jc w:val="right"/>
        <w:textAlignment w:val="auto"/>
        <w:rPr>
          <w:rFonts w:hint="eastAsia" w:cs="Times New Roman"/>
          <w:b/>
          <w:bCs/>
          <w:color w:val="auto"/>
          <w:sz w:val="24"/>
          <w:szCs w:val="24"/>
          <w:lang w:eastAsia="zh-CN"/>
        </w:rPr>
      </w:pP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5" w:firstLineChars="222"/>
        <w:jc w:val="right"/>
        <w:textAlignment w:val="auto"/>
        <w:rPr>
          <w:rFonts w:hint="default" w:ascii="Times New Roman" w:hAnsi="Times New Roman" w:eastAsia="宋体" w:cs="Times New Roman"/>
          <w:b/>
          <w:bCs/>
          <w:color w:val="auto"/>
          <w:sz w:val="24"/>
          <w:szCs w:val="24"/>
        </w:rPr>
      </w:pPr>
      <w:r>
        <w:rPr>
          <w:rFonts w:hint="eastAsia" w:cs="Times New Roman"/>
          <w:b/>
          <w:bCs/>
          <w:color w:val="auto"/>
          <w:sz w:val="24"/>
          <w:szCs w:val="24"/>
          <w:lang w:eastAsia="zh-CN"/>
        </w:rPr>
        <w:t>东阿县锦昌钢球有限公司</w:t>
      </w:r>
      <w:r>
        <w:rPr>
          <w:rFonts w:hint="default" w:ascii="Times New Roman" w:hAnsi="Times New Roman" w:eastAsia="宋体" w:cs="Times New Roman"/>
          <w:b/>
          <w:bCs/>
          <w:color w:val="auto"/>
          <w:sz w:val="24"/>
          <w:szCs w:val="24"/>
        </w:rPr>
        <w:t>验收组</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left="17" w:leftChars="8" w:firstLine="535" w:firstLineChars="222"/>
        <w:jc w:val="right"/>
        <w:textAlignment w:val="auto"/>
        <w:rPr>
          <w:rFonts w:hint="default" w:ascii="Times New Roman" w:hAnsi="Times New Roman" w:eastAsia="宋体" w:cs="Times New Roman"/>
          <w:color w:val="auto"/>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20</w:t>
      </w:r>
      <w:r>
        <w:rPr>
          <w:rFonts w:hint="eastAsia" w:cs="Times New Roman"/>
          <w:b/>
          <w:bCs/>
          <w:color w:val="auto"/>
          <w:sz w:val="24"/>
          <w:szCs w:val="24"/>
          <w:highlight w:val="none"/>
          <w:lang w:val="en-US" w:eastAsia="zh-CN"/>
        </w:rPr>
        <w:t>20</w:t>
      </w:r>
      <w:r>
        <w:rPr>
          <w:rFonts w:hint="default" w:ascii="Times New Roman" w:hAnsi="Times New Roman" w:eastAsia="宋体" w:cs="Times New Roman"/>
          <w:b/>
          <w:bCs/>
          <w:color w:val="auto"/>
          <w:sz w:val="24"/>
          <w:szCs w:val="24"/>
          <w:highlight w:val="none"/>
        </w:rPr>
        <w:t>年</w:t>
      </w:r>
      <w:r>
        <w:rPr>
          <w:rFonts w:hint="eastAsia" w:cs="Times New Roman"/>
          <w:b/>
          <w:bCs/>
          <w:color w:val="auto"/>
          <w:sz w:val="24"/>
          <w:szCs w:val="24"/>
          <w:highlight w:val="none"/>
          <w:lang w:val="en-US" w:eastAsia="zh-CN"/>
        </w:rPr>
        <w:t>12</w:t>
      </w:r>
      <w:r>
        <w:rPr>
          <w:rFonts w:hint="default" w:ascii="Times New Roman" w:hAnsi="Times New Roman" w:eastAsia="宋体" w:cs="Times New Roman"/>
          <w:b/>
          <w:bCs/>
          <w:color w:val="auto"/>
          <w:sz w:val="24"/>
          <w:szCs w:val="24"/>
          <w:highlight w:val="none"/>
        </w:rPr>
        <w:t>月</w:t>
      </w:r>
      <w:r>
        <w:rPr>
          <w:rFonts w:hint="eastAsia" w:cs="Times New Roman"/>
          <w:b/>
          <w:bCs/>
          <w:color w:val="auto"/>
          <w:sz w:val="24"/>
          <w:szCs w:val="24"/>
          <w:highlight w:val="none"/>
          <w:lang w:val="en-US" w:eastAsia="zh-CN"/>
        </w:rPr>
        <w:t>18</w:t>
      </w:r>
      <w:r>
        <w:rPr>
          <w:rFonts w:hint="default" w:ascii="Times New Roman" w:hAnsi="Times New Roman" w:eastAsia="宋体" w:cs="Times New Roman"/>
          <w:b/>
          <w:bCs/>
          <w:color w:val="auto"/>
          <w:sz w:val="24"/>
          <w:szCs w:val="24"/>
          <w:highlight w:val="none"/>
        </w:rPr>
        <w:t>日</w:t>
      </w:r>
      <w:r>
        <w:rPr>
          <w:rFonts w:hint="default" w:ascii="Times New Roman" w:hAnsi="Times New Roman" w:eastAsia="宋体" w:cs="Times New Roman"/>
          <w:color w:val="auto"/>
          <w:sz w:val="28"/>
          <w:szCs w:val="28"/>
          <w:highlight w:val="none"/>
        </w:rPr>
        <w:t xml:space="preserve"> </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9356A"/>
    <w:rsid w:val="00FA719E"/>
    <w:rsid w:val="02831D39"/>
    <w:rsid w:val="030F5404"/>
    <w:rsid w:val="03D42667"/>
    <w:rsid w:val="043F5FCB"/>
    <w:rsid w:val="0CF51F9F"/>
    <w:rsid w:val="181F582C"/>
    <w:rsid w:val="18D05E89"/>
    <w:rsid w:val="194536F7"/>
    <w:rsid w:val="19F5368E"/>
    <w:rsid w:val="1AB228FE"/>
    <w:rsid w:val="1D920851"/>
    <w:rsid w:val="2102413F"/>
    <w:rsid w:val="27420539"/>
    <w:rsid w:val="2A2225DC"/>
    <w:rsid w:val="30A1619D"/>
    <w:rsid w:val="394E218A"/>
    <w:rsid w:val="3AA3253F"/>
    <w:rsid w:val="3C7A25BB"/>
    <w:rsid w:val="3CBC00FB"/>
    <w:rsid w:val="3D5D76D0"/>
    <w:rsid w:val="3D882091"/>
    <w:rsid w:val="3E1C082C"/>
    <w:rsid w:val="42D66A94"/>
    <w:rsid w:val="42EF3E25"/>
    <w:rsid w:val="440B2C50"/>
    <w:rsid w:val="493326E6"/>
    <w:rsid w:val="510D59DA"/>
    <w:rsid w:val="51B711D3"/>
    <w:rsid w:val="56FF753E"/>
    <w:rsid w:val="58591482"/>
    <w:rsid w:val="592F6FA6"/>
    <w:rsid w:val="5F102768"/>
    <w:rsid w:val="5FEF6218"/>
    <w:rsid w:val="639760D3"/>
    <w:rsid w:val="67E97C88"/>
    <w:rsid w:val="6C30440E"/>
    <w:rsid w:val="6C634D6B"/>
    <w:rsid w:val="6D4729D1"/>
    <w:rsid w:val="71461EA2"/>
    <w:rsid w:val="77930543"/>
    <w:rsid w:val="78F400A0"/>
    <w:rsid w:val="79322C88"/>
    <w:rsid w:val="7B27245D"/>
    <w:rsid w:val="7C6E1004"/>
    <w:rsid w:val="7F290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semiHidden/>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3">
    <w:name w:val="List Paragraph"/>
    <w:basedOn w:val="1"/>
    <w:qFormat/>
    <w:uiPriority w:val="99"/>
    <w:pPr>
      <w:ind w:firstLine="420" w:firstLineChars="200"/>
    </w:pPr>
  </w:style>
  <w:style w:type="paragraph" w:customStyle="1" w:styleId="14">
    <w:name w:val="报告表正文"/>
    <w:basedOn w:val="1"/>
    <w:qFormat/>
    <w:uiPriority w:val="0"/>
    <w:pPr>
      <w:tabs>
        <w:tab w:val="left" w:pos="7560"/>
      </w:tabs>
      <w:adjustRightInd w:val="0"/>
      <w:spacing w:line="360" w:lineRule="auto"/>
      <w:ind w:firstLine="480" w:firstLineChars="200"/>
    </w:pPr>
    <w:rPr>
      <w:bCs/>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2020-12-28T02:30:32Z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