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eastAsia="宋体"/>
          <w:b/>
          <w:sz w:val="32"/>
          <w:szCs w:val="32"/>
          <w:highlight w:val="none"/>
          <w:lang w:eastAsia="zh-CN"/>
        </w:rPr>
      </w:pPr>
      <w:r>
        <w:rPr>
          <w:rFonts w:hint="eastAsia"/>
          <w:b/>
          <w:sz w:val="32"/>
          <w:szCs w:val="32"/>
          <w:highlight w:val="none"/>
        </w:rPr>
        <w:t>聊城博凡建材有限公司年加工30万平方米铝单板项目</w:t>
      </w:r>
      <w:r>
        <w:rPr>
          <w:rFonts w:hint="eastAsia"/>
          <w:b/>
          <w:sz w:val="32"/>
          <w:szCs w:val="32"/>
          <w:highlight w:val="none"/>
          <w:lang w:eastAsia="zh-CN"/>
        </w:rPr>
        <w:t>（</w:t>
      </w:r>
      <w:r>
        <w:rPr>
          <w:rFonts w:hint="eastAsia"/>
          <w:b/>
          <w:sz w:val="32"/>
          <w:szCs w:val="32"/>
          <w:highlight w:val="none"/>
          <w:lang w:val="en-US" w:eastAsia="zh-CN"/>
        </w:rPr>
        <w:t>一期</w:t>
      </w:r>
      <w:r>
        <w:rPr>
          <w:rFonts w:hint="eastAsia"/>
          <w:b/>
          <w:sz w:val="32"/>
          <w:szCs w:val="32"/>
          <w:highlight w:val="none"/>
          <w:lang w:eastAsia="zh-CN"/>
        </w:rPr>
        <w:t>）</w:t>
      </w:r>
    </w:p>
    <w:p>
      <w:pPr>
        <w:tabs>
          <w:tab w:val="left" w:pos="220"/>
        </w:tabs>
        <w:spacing w:line="360" w:lineRule="auto"/>
        <w:jc w:val="center"/>
        <w:rPr>
          <w:b/>
          <w:sz w:val="32"/>
          <w:szCs w:val="32"/>
          <w:highlight w:val="none"/>
        </w:rPr>
      </w:pPr>
      <w:r>
        <w:rPr>
          <w:b/>
          <w:sz w:val="32"/>
          <w:szCs w:val="32"/>
          <w:highlight w:val="none"/>
        </w:rPr>
        <w:t>竣工环境保护验收现场检查及验收工作组验收意见</w:t>
      </w:r>
    </w:p>
    <w:p>
      <w:pPr>
        <w:tabs>
          <w:tab w:val="left" w:pos="220"/>
        </w:tabs>
        <w:spacing w:line="360" w:lineRule="auto"/>
        <w:ind w:left="233" w:leftChars="111" w:firstLine="453" w:firstLineChars="216"/>
        <w:jc w:val="left"/>
        <w:rPr>
          <w:szCs w:val="21"/>
          <w:highlight w:val="none"/>
        </w:rPr>
      </w:pPr>
    </w:p>
    <w:p>
      <w:pPr>
        <w:tabs>
          <w:tab w:val="left" w:pos="220"/>
        </w:tabs>
        <w:spacing w:line="360" w:lineRule="auto"/>
        <w:ind w:left="233" w:leftChars="111" w:firstLine="604" w:firstLineChars="216"/>
        <w:jc w:val="left"/>
        <w:rPr>
          <w:sz w:val="28"/>
          <w:szCs w:val="28"/>
          <w:highlight w:val="none"/>
        </w:rPr>
      </w:pPr>
      <w:r>
        <w:rPr>
          <w:rFonts w:hint="eastAsia"/>
          <w:sz w:val="28"/>
          <w:szCs w:val="28"/>
          <w:highlight w:val="none"/>
        </w:rPr>
        <w:t>2020</w:t>
      </w:r>
      <w:r>
        <w:rPr>
          <w:sz w:val="28"/>
          <w:szCs w:val="28"/>
          <w:highlight w:val="none"/>
        </w:rPr>
        <w:t>年12月</w:t>
      </w:r>
      <w:r>
        <w:rPr>
          <w:rFonts w:hint="eastAsia"/>
          <w:sz w:val="28"/>
          <w:szCs w:val="28"/>
          <w:highlight w:val="none"/>
          <w:lang w:val="en-US" w:eastAsia="zh-CN"/>
        </w:rPr>
        <w:t>11</w:t>
      </w:r>
      <w:r>
        <w:rPr>
          <w:sz w:val="28"/>
          <w:szCs w:val="28"/>
          <w:highlight w:val="none"/>
        </w:rPr>
        <w:t>日，</w:t>
      </w:r>
      <w:r>
        <w:rPr>
          <w:rFonts w:hint="eastAsia"/>
          <w:sz w:val="28"/>
          <w:szCs w:val="28"/>
          <w:highlight w:val="none"/>
        </w:rPr>
        <w:t>聊城博凡建材有限公司</w:t>
      </w:r>
      <w:r>
        <w:rPr>
          <w:sz w:val="28"/>
          <w:szCs w:val="28"/>
          <w:highlight w:val="none"/>
        </w:rPr>
        <w:t>组织召开</w:t>
      </w:r>
      <w:r>
        <w:rPr>
          <w:rFonts w:hint="eastAsia"/>
          <w:sz w:val="28"/>
          <w:szCs w:val="28"/>
          <w:highlight w:val="none"/>
        </w:rPr>
        <w:t>年</w:t>
      </w:r>
      <w:r>
        <w:rPr>
          <w:rFonts w:hint="eastAsia"/>
          <w:sz w:val="28"/>
          <w:szCs w:val="28"/>
          <w:highlight w:val="none"/>
          <w:lang w:val="en-US" w:eastAsia="zh-CN"/>
        </w:rPr>
        <w:t>加工</w:t>
      </w:r>
      <w:r>
        <w:rPr>
          <w:sz w:val="28"/>
          <w:szCs w:val="28"/>
          <w:highlight w:val="none"/>
        </w:rPr>
        <w:t>30</w:t>
      </w:r>
      <w:r>
        <w:rPr>
          <w:rFonts w:hint="eastAsia"/>
          <w:sz w:val="28"/>
          <w:szCs w:val="28"/>
          <w:highlight w:val="none"/>
        </w:rPr>
        <w:t>万平方米铝单板项目</w:t>
      </w:r>
      <w:r>
        <w:rPr>
          <w:rFonts w:hint="eastAsia"/>
          <w:sz w:val="28"/>
          <w:szCs w:val="28"/>
          <w:highlight w:val="none"/>
          <w:lang w:eastAsia="zh-CN"/>
        </w:rPr>
        <w:t>（</w:t>
      </w:r>
      <w:r>
        <w:rPr>
          <w:rFonts w:hint="eastAsia"/>
          <w:sz w:val="28"/>
          <w:szCs w:val="28"/>
          <w:highlight w:val="none"/>
          <w:lang w:val="en-US" w:eastAsia="zh-CN"/>
        </w:rPr>
        <w:t>一期</w:t>
      </w:r>
      <w:r>
        <w:rPr>
          <w:rFonts w:hint="eastAsia"/>
          <w:sz w:val="28"/>
          <w:szCs w:val="28"/>
          <w:highlight w:val="none"/>
          <w:lang w:eastAsia="zh-CN"/>
        </w:rPr>
        <w:t>）</w:t>
      </w:r>
      <w:r>
        <w:rPr>
          <w:sz w:val="28"/>
          <w:szCs w:val="28"/>
          <w:highlight w:val="none"/>
        </w:rPr>
        <w:t>竣工环境保护验收现场检查及验收及验收会。验收工作组由工程建设单位（</w:t>
      </w:r>
      <w:r>
        <w:rPr>
          <w:rFonts w:hint="eastAsia"/>
          <w:sz w:val="28"/>
          <w:szCs w:val="28"/>
          <w:highlight w:val="none"/>
        </w:rPr>
        <w:t>聊城博凡建材有限公司</w:t>
      </w:r>
      <w:r>
        <w:rPr>
          <w:sz w:val="28"/>
          <w:szCs w:val="28"/>
          <w:highlight w:val="none"/>
        </w:rPr>
        <w:t>）、监测单位（山东聊和环保科技有限公司）并特邀2名技术专家（名单附后）组成。</w:t>
      </w:r>
    </w:p>
    <w:p>
      <w:pPr>
        <w:tabs>
          <w:tab w:val="left" w:pos="220"/>
        </w:tabs>
        <w:spacing w:line="360" w:lineRule="auto"/>
        <w:ind w:left="233" w:leftChars="111" w:firstLine="604" w:firstLineChars="216"/>
        <w:jc w:val="left"/>
        <w:rPr>
          <w:sz w:val="28"/>
          <w:szCs w:val="28"/>
          <w:highlight w:val="none"/>
        </w:rPr>
      </w:pPr>
      <w:r>
        <w:rPr>
          <w:sz w:val="28"/>
          <w:szCs w:val="28"/>
          <w:highlight w:val="none"/>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sz w:val="28"/>
          <w:szCs w:val="28"/>
          <w:highlight w:val="none"/>
        </w:rPr>
      </w:pPr>
      <w:r>
        <w:rPr>
          <w:sz w:val="28"/>
          <w:szCs w:val="28"/>
          <w:highlight w:val="none"/>
        </w:rPr>
        <w:t>一、工程建设基本情况</w:t>
      </w:r>
    </w:p>
    <w:p>
      <w:pPr>
        <w:tabs>
          <w:tab w:val="left" w:pos="220"/>
        </w:tabs>
        <w:spacing w:line="360" w:lineRule="auto"/>
        <w:ind w:left="233" w:leftChars="111" w:firstLine="604" w:firstLineChars="216"/>
        <w:jc w:val="left"/>
        <w:rPr>
          <w:sz w:val="28"/>
          <w:szCs w:val="28"/>
          <w:highlight w:val="none"/>
        </w:rPr>
      </w:pPr>
      <w:r>
        <w:rPr>
          <w:sz w:val="28"/>
          <w:szCs w:val="28"/>
          <w:highlight w:val="none"/>
        </w:rPr>
        <w:t>（一）建设地点、规模、主要建设内容</w:t>
      </w:r>
    </w:p>
    <w:p>
      <w:pPr>
        <w:ind w:left="210" w:leftChars="100" w:firstLine="560" w:firstLineChars="200"/>
        <w:rPr>
          <w:sz w:val="28"/>
          <w:szCs w:val="28"/>
          <w:highlight w:val="none"/>
        </w:rPr>
      </w:pPr>
      <w:r>
        <w:rPr>
          <w:sz w:val="28"/>
          <w:szCs w:val="28"/>
          <w:highlight w:val="none"/>
        </w:rPr>
        <w:t>聊城博凡建材有限公司位于</w:t>
      </w:r>
      <w:r>
        <w:rPr>
          <w:rFonts w:hint="eastAsia"/>
          <w:sz w:val="28"/>
          <w:szCs w:val="28"/>
          <w:highlight w:val="none"/>
        </w:rPr>
        <w:t>东阿县工业园区鱼山路与胶光路交叉口东阿华通轴承配件有限公司院内</w:t>
      </w:r>
      <w:r>
        <w:rPr>
          <w:sz w:val="28"/>
          <w:szCs w:val="28"/>
          <w:highlight w:val="none"/>
        </w:rPr>
        <w:t>。</w:t>
      </w:r>
      <w:r>
        <w:rPr>
          <w:rFonts w:hint="eastAsia"/>
          <w:sz w:val="28"/>
          <w:szCs w:val="28"/>
          <w:highlight w:val="none"/>
          <w:lang w:val="en-US" w:eastAsia="zh-CN"/>
        </w:rPr>
        <w:t>项目预计总投资1500万元</w:t>
      </w:r>
      <w:r>
        <w:rPr>
          <w:sz w:val="28"/>
          <w:szCs w:val="28"/>
          <w:highlight w:val="none"/>
        </w:rPr>
        <w:t>，占地面积4608m</w:t>
      </w:r>
      <w:r>
        <w:rPr>
          <w:sz w:val="28"/>
          <w:szCs w:val="28"/>
          <w:highlight w:val="none"/>
          <w:vertAlign w:val="superscript"/>
        </w:rPr>
        <w:t>2</w:t>
      </w:r>
      <w:r>
        <w:rPr>
          <w:sz w:val="28"/>
          <w:szCs w:val="28"/>
          <w:highlight w:val="none"/>
        </w:rPr>
        <w:t>，租赁厂房建设</w:t>
      </w:r>
      <w:r>
        <w:rPr>
          <w:rFonts w:hint="eastAsia"/>
          <w:sz w:val="28"/>
          <w:szCs w:val="28"/>
          <w:highlight w:val="none"/>
          <w:lang w:val="en-US" w:eastAsia="zh-CN"/>
        </w:rPr>
        <w:t>生产制造铝单板项目。由于市场需求原因，激光切割机、部分焊机、冲床等设备未上，项目分期验收，本次验收为一期。项目一期</w:t>
      </w:r>
      <w:r>
        <w:rPr>
          <w:sz w:val="28"/>
          <w:szCs w:val="28"/>
          <w:highlight w:val="none"/>
        </w:rPr>
        <w:t>投资1</w:t>
      </w:r>
      <w:r>
        <w:rPr>
          <w:rFonts w:hint="eastAsia"/>
          <w:sz w:val="28"/>
          <w:szCs w:val="28"/>
          <w:highlight w:val="none"/>
          <w:lang w:val="en-US" w:eastAsia="zh-CN"/>
        </w:rPr>
        <w:t>1</w:t>
      </w:r>
      <w:r>
        <w:rPr>
          <w:sz w:val="28"/>
          <w:szCs w:val="28"/>
          <w:highlight w:val="none"/>
        </w:rPr>
        <w:t>00万元</w:t>
      </w:r>
      <w:r>
        <w:rPr>
          <w:rFonts w:hint="eastAsia"/>
          <w:sz w:val="28"/>
          <w:szCs w:val="28"/>
          <w:highlight w:val="none"/>
          <w:lang w:eastAsia="zh-CN"/>
        </w:rPr>
        <w:t>，</w:t>
      </w:r>
      <w:r>
        <w:rPr>
          <w:rFonts w:hint="eastAsia"/>
          <w:sz w:val="28"/>
          <w:szCs w:val="28"/>
          <w:highlight w:val="none"/>
          <w:lang w:val="en-US" w:eastAsia="zh-CN"/>
        </w:rPr>
        <w:t>生产规</w:t>
      </w:r>
      <w:r>
        <w:rPr>
          <w:rFonts w:hint="eastAsia"/>
          <w:color w:val="000000" w:themeColor="text1"/>
          <w:sz w:val="28"/>
          <w:szCs w:val="28"/>
          <w:highlight w:val="none"/>
          <w:lang w:val="en-US" w:eastAsia="zh-CN"/>
          <w14:textFill>
            <w14:solidFill>
              <w14:schemeClr w14:val="tx1"/>
            </w14:solidFill>
          </w14:textFill>
        </w:rPr>
        <w:t>模为</w:t>
      </w:r>
      <w:r>
        <w:rPr>
          <w:color w:val="000000" w:themeColor="text1"/>
          <w:sz w:val="28"/>
          <w:szCs w:val="28"/>
          <w:highlight w:val="none"/>
          <w14:textFill>
            <w14:solidFill>
              <w14:schemeClr w14:val="tx1"/>
            </w14:solidFill>
          </w14:textFill>
        </w:rPr>
        <w:t>年产</w:t>
      </w:r>
      <w:r>
        <w:rPr>
          <w:rFonts w:hint="eastAsia"/>
          <w:color w:val="000000" w:themeColor="text1"/>
          <w:sz w:val="28"/>
          <w:szCs w:val="28"/>
          <w:highlight w:val="none"/>
          <w:lang w:val="en-US" w:eastAsia="zh-CN"/>
          <w14:textFill>
            <w14:solidFill>
              <w14:schemeClr w14:val="tx1"/>
            </w14:solidFill>
          </w14:textFill>
        </w:rPr>
        <w:t>20</w:t>
      </w:r>
      <w:r>
        <w:rPr>
          <w:rFonts w:hint="eastAsia"/>
          <w:color w:val="000000" w:themeColor="text1"/>
          <w:sz w:val="28"/>
          <w:szCs w:val="28"/>
          <w:highlight w:val="none"/>
          <w14:textFill>
            <w14:solidFill>
              <w14:schemeClr w14:val="tx1"/>
            </w14:solidFill>
          </w14:textFill>
        </w:rPr>
        <w:t>万平方米铝单板</w:t>
      </w:r>
      <w:r>
        <w:rPr>
          <w:color w:val="000000" w:themeColor="text1"/>
          <w:sz w:val="28"/>
          <w:szCs w:val="28"/>
          <w:highlight w:val="none"/>
          <w14:textFill>
            <w14:solidFill>
              <w14:schemeClr w14:val="tx1"/>
            </w14:solidFill>
          </w14:textFill>
        </w:rPr>
        <w:t>。</w:t>
      </w:r>
    </w:p>
    <w:p>
      <w:pPr>
        <w:tabs>
          <w:tab w:val="left" w:pos="220"/>
        </w:tabs>
        <w:spacing w:line="360" w:lineRule="auto"/>
        <w:ind w:left="233" w:leftChars="111" w:firstLine="604" w:firstLineChars="216"/>
        <w:jc w:val="left"/>
        <w:rPr>
          <w:sz w:val="28"/>
          <w:szCs w:val="28"/>
          <w:highlight w:val="none"/>
        </w:rPr>
      </w:pPr>
      <w:r>
        <w:rPr>
          <w:sz w:val="28"/>
          <w:szCs w:val="28"/>
          <w:highlight w:val="none"/>
        </w:rPr>
        <w:t>（二）环保审批情况</w:t>
      </w:r>
    </w:p>
    <w:p>
      <w:pPr>
        <w:spacing w:line="360" w:lineRule="auto"/>
        <w:ind w:left="233" w:leftChars="111" w:firstLine="604" w:firstLineChars="216"/>
        <w:rPr>
          <w:sz w:val="28"/>
          <w:szCs w:val="28"/>
          <w:highlight w:val="none"/>
        </w:rPr>
      </w:pPr>
      <w:r>
        <w:rPr>
          <w:rFonts w:hint="eastAsia"/>
          <w:color w:val="000000" w:themeColor="text1"/>
          <w:sz w:val="28"/>
          <w:szCs w:val="28"/>
          <w:highlight w:val="none"/>
          <w:lang w:eastAsia="zh-CN"/>
          <w14:textFill>
            <w14:solidFill>
              <w14:schemeClr w14:val="tx1"/>
            </w14:solidFill>
          </w14:textFill>
        </w:rPr>
        <w:t>本项目为新建项目。</w:t>
      </w:r>
      <w:r>
        <w:rPr>
          <w:color w:val="000000" w:themeColor="text1"/>
          <w:sz w:val="28"/>
          <w:szCs w:val="28"/>
          <w:highlight w:val="none"/>
          <w14:textFill>
            <w14:solidFill>
              <w14:schemeClr w14:val="tx1"/>
            </w14:solidFill>
          </w14:textFill>
        </w:rPr>
        <w:t>2019年10月</w:t>
      </w:r>
      <w:r>
        <w:rPr>
          <w:rFonts w:hint="eastAsia"/>
          <w:color w:val="000000" w:themeColor="text1"/>
          <w:sz w:val="28"/>
          <w:szCs w:val="28"/>
          <w:highlight w:val="none"/>
          <w14:textFill>
            <w14:solidFill>
              <w14:schemeClr w14:val="tx1"/>
            </w14:solidFill>
          </w14:textFill>
        </w:rPr>
        <w:t>聊城博</w:t>
      </w:r>
      <w:r>
        <w:rPr>
          <w:rFonts w:hint="eastAsia"/>
          <w:sz w:val="28"/>
          <w:szCs w:val="28"/>
          <w:highlight w:val="none"/>
        </w:rPr>
        <w:t>凡建材有限公司</w:t>
      </w:r>
      <w:r>
        <w:rPr>
          <w:sz w:val="28"/>
          <w:szCs w:val="28"/>
          <w:highlight w:val="none"/>
        </w:rPr>
        <w:t>委托</w:t>
      </w:r>
      <w:r>
        <w:rPr>
          <w:rFonts w:hint="eastAsia"/>
          <w:sz w:val="28"/>
          <w:szCs w:val="28"/>
          <w:highlight w:val="none"/>
        </w:rPr>
        <w:t>山东国嘉环保科技有限公司</w:t>
      </w:r>
      <w:r>
        <w:rPr>
          <w:sz w:val="28"/>
          <w:szCs w:val="28"/>
          <w:highlight w:val="none"/>
        </w:rPr>
        <w:t>编制了</w:t>
      </w:r>
      <w:r>
        <w:rPr>
          <w:rFonts w:hint="eastAsia"/>
          <w:sz w:val="28"/>
          <w:szCs w:val="28"/>
          <w:highlight w:val="none"/>
        </w:rPr>
        <w:t>《聊城博凡建材有限公司年加工30万平方米铝单板项目环境影响报告表》</w:t>
      </w:r>
      <w:r>
        <w:rPr>
          <w:sz w:val="28"/>
          <w:szCs w:val="28"/>
          <w:highlight w:val="none"/>
        </w:rPr>
        <w:t>，2020年1月</w:t>
      </w:r>
      <w:r>
        <w:rPr>
          <w:rFonts w:hint="eastAsia"/>
          <w:sz w:val="28"/>
          <w:szCs w:val="28"/>
          <w:highlight w:val="none"/>
        </w:rPr>
        <w:t>1</w:t>
      </w:r>
      <w:r>
        <w:rPr>
          <w:sz w:val="28"/>
          <w:szCs w:val="28"/>
          <w:highlight w:val="none"/>
        </w:rPr>
        <w:t>9日</w:t>
      </w:r>
      <w:r>
        <w:rPr>
          <w:rFonts w:hint="eastAsia"/>
          <w:sz w:val="28"/>
          <w:szCs w:val="28"/>
          <w:highlight w:val="none"/>
        </w:rPr>
        <w:t>东阿县行政审批服务局</w:t>
      </w:r>
      <w:r>
        <w:rPr>
          <w:sz w:val="28"/>
          <w:szCs w:val="28"/>
          <w:highlight w:val="none"/>
        </w:rPr>
        <w:t>以</w:t>
      </w:r>
      <w:r>
        <w:rPr>
          <w:rFonts w:hint="eastAsia"/>
          <w:sz w:val="28"/>
          <w:szCs w:val="28"/>
          <w:highlight w:val="none"/>
        </w:rPr>
        <w:t>东行审环报告表[2020]3号</w:t>
      </w:r>
      <w:r>
        <w:rPr>
          <w:sz w:val="28"/>
          <w:szCs w:val="28"/>
          <w:highlight w:val="none"/>
        </w:rPr>
        <w:t>对其进行了审批。2020年11月公司委托山东聊和环保科技有限公司进行本项目的环保验收监测工作，接受委托后山东聊和环保科技有限公司组织有关技术人员进行现场踏勘，依据监测技术规范制定了环保验收监测方案，并于2020年11月4日-5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sz w:val="28"/>
          <w:szCs w:val="28"/>
          <w:highlight w:val="none"/>
        </w:rPr>
      </w:pPr>
      <w:r>
        <w:rPr>
          <w:sz w:val="28"/>
          <w:szCs w:val="28"/>
          <w:highlight w:val="none"/>
        </w:rPr>
        <w:t>（三）投资情况</w:t>
      </w:r>
    </w:p>
    <w:p>
      <w:pPr>
        <w:tabs>
          <w:tab w:val="left" w:pos="220"/>
        </w:tabs>
        <w:spacing w:line="360" w:lineRule="auto"/>
        <w:ind w:left="233" w:leftChars="111" w:firstLine="604" w:firstLineChars="216"/>
        <w:jc w:val="left"/>
        <w:rPr>
          <w:sz w:val="28"/>
          <w:szCs w:val="28"/>
          <w:highlight w:val="none"/>
        </w:rPr>
      </w:pPr>
      <w:r>
        <w:rPr>
          <w:sz w:val="28"/>
          <w:szCs w:val="28"/>
          <w:highlight w:val="none"/>
        </w:rPr>
        <w:t>项目</w:t>
      </w:r>
      <w:r>
        <w:rPr>
          <w:rFonts w:hint="eastAsia"/>
          <w:sz w:val="28"/>
          <w:szCs w:val="28"/>
          <w:highlight w:val="none"/>
          <w:u w:val="none"/>
          <w:lang w:val="en-US" w:eastAsia="zh-CN"/>
        </w:rPr>
        <w:t>一期</w:t>
      </w:r>
      <w:r>
        <w:rPr>
          <w:sz w:val="28"/>
          <w:szCs w:val="28"/>
          <w:highlight w:val="none"/>
        </w:rPr>
        <w:t>实际总投资1</w:t>
      </w:r>
      <w:r>
        <w:rPr>
          <w:rFonts w:hint="eastAsia"/>
          <w:sz w:val="28"/>
          <w:szCs w:val="28"/>
          <w:highlight w:val="none"/>
          <w:lang w:val="en-US" w:eastAsia="zh-CN"/>
        </w:rPr>
        <w:t>1</w:t>
      </w:r>
      <w:r>
        <w:rPr>
          <w:sz w:val="28"/>
          <w:szCs w:val="28"/>
          <w:highlight w:val="none"/>
        </w:rPr>
        <w:t>00万元，其中环保投资20万元</w:t>
      </w:r>
      <w:r>
        <w:rPr>
          <w:rFonts w:hint="eastAsia"/>
          <w:sz w:val="28"/>
          <w:szCs w:val="28"/>
          <w:highlight w:val="none"/>
          <w:lang w:eastAsia="zh-CN"/>
        </w:rPr>
        <w:t>，</w:t>
      </w:r>
      <w:r>
        <w:rPr>
          <w:sz w:val="28"/>
          <w:szCs w:val="28"/>
          <w:highlight w:val="none"/>
        </w:rPr>
        <w:t>占总投资1.</w:t>
      </w:r>
      <w:r>
        <w:rPr>
          <w:rFonts w:hint="eastAsia"/>
          <w:sz w:val="28"/>
          <w:szCs w:val="28"/>
          <w:highlight w:val="none"/>
          <w:lang w:val="en-US" w:eastAsia="zh-CN"/>
        </w:rPr>
        <w:t>82</w:t>
      </w:r>
      <w:r>
        <w:rPr>
          <w:sz w:val="28"/>
          <w:szCs w:val="28"/>
          <w:highlight w:val="none"/>
        </w:rPr>
        <w:t>％。</w:t>
      </w:r>
    </w:p>
    <w:p>
      <w:pPr>
        <w:tabs>
          <w:tab w:val="left" w:pos="220"/>
        </w:tabs>
        <w:spacing w:line="360" w:lineRule="auto"/>
        <w:ind w:left="233" w:leftChars="111" w:firstLine="604" w:firstLineChars="216"/>
        <w:jc w:val="left"/>
        <w:rPr>
          <w:sz w:val="28"/>
          <w:szCs w:val="28"/>
          <w:highlight w:val="none"/>
        </w:rPr>
      </w:pPr>
      <w:r>
        <w:rPr>
          <w:sz w:val="28"/>
          <w:szCs w:val="28"/>
          <w:highlight w:val="none"/>
        </w:rPr>
        <w:t>（四）验收范围</w:t>
      </w:r>
    </w:p>
    <w:p>
      <w:pPr>
        <w:tabs>
          <w:tab w:val="left" w:pos="220"/>
        </w:tabs>
        <w:spacing w:line="360" w:lineRule="auto"/>
        <w:ind w:left="233" w:leftChars="111" w:firstLine="604" w:firstLineChars="216"/>
        <w:jc w:val="left"/>
        <w:rPr>
          <w:sz w:val="28"/>
          <w:szCs w:val="28"/>
          <w:highlight w:val="none"/>
        </w:rPr>
      </w:pPr>
      <w:r>
        <w:rPr>
          <w:sz w:val="28"/>
          <w:szCs w:val="28"/>
          <w:highlight w:val="none"/>
        </w:rPr>
        <w:t>本次验收的范围为年产</w:t>
      </w:r>
      <w:r>
        <w:rPr>
          <w:rFonts w:hint="eastAsia"/>
          <w:sz w:val="28"/>
          <w:szCs w:val="28"/>
          <w:highlight w:val="none"/>
          <w:lang w:val="en-US" w:eastAsia="zh-CN"/>
        </w:rPr>
        <w:t>20</w:t>
      </w:r>
      <w:r>
        <w:rPr>
          <w:rFonts w:hint="eastAsia"/>
          <w:sz w:val="28"/>
          <w:szCs w:val="28"/>
          <w:highlight w:val="none"/>
        </w:rPr>
        <w:t>万平方米铝单板</w:t>
      </w:r>
      <w:r>
        <w:rPr>
          <w:sz w:val="28"/>
          <w:szCs w:val="28"/>
          <w:highlight w:val="none"/>
        </w:rPr>
        <w:t>生产设备及其配套环保设施。</w:t>
      </w:r>
    </w:p>
    <w:p>
      <w:pPr>
        <w:tabs>
          <w:tab w:val="left" w:pos="220"/>
        </w:tabs>
        <w:spacing w:line="360" w:lineRule="auto"/>
        <w:ind w:left="233" w:leftChars="111" w:firstLine="604" w:firstLineChars="216"/>
        <w:jc w:val="left"/>
        <w:rPr>
          <w:sz w:val="28"/>
          <w:szCs w:val="28"/>
          <w:highlight w:val="none"/>
        </w:rPr>
      </w:pPr>
      <w:r>
        <w:rPr>
          <w:sz w:val="28"/>
          <w:szCs w:val="28"/>
          <w:highlight w:val="none"/>
        </w:rPr>
        <w:t>二、工程变更情况</w:t>
      </w:r>
    </w:p>
    <w:p>
      <w:pPr>
        <w:spacing w:line="360" w:lineRule="auto"/>
        <w:ind w:left="233" w:leftChars="111" w:firstLine="604" w:firstLineChars="216"/>
        <w:jc w:val="left"/>
        <w:rPr>
          <w:sz w:val="28"/>
          <w:szCs w:val="28"/>
          <w:highlight w:val="none"/>
        </w:rPr>
      </w:pPr>
      <w:r>
        <w:rPr>
          <w:sz w:val="28"/>
          <w:szCs w:val="28"/>
          <w:highlight w:val="none"/>
        </w:rPr>
        <w:t>通过现场调查，对照环评报告及审批意见，</w:t>
      </w:r>
      <w:r>
        <w:rPr>
          <w:rFonts w:hint="eastAsia"/>
          <w:sz w:val="28"/>
          <w:szCs w:val="28"/>
          <w:highlight w:val="none"/>
        </w:rPr>
        <w:t>新增设食堂一处，不属于生产性质、</w:t>
      </w:r>
      <w:r>
        <w:rPr>
          <w:rFonts w:hint="eastAsia"/>
          <w:sz w:val="28"/>
          <w:szCs w:val="28"/>
          <w:highlight w:val="none"/>
          <w:lang w:val="en-US" w:eastAsia="zh-CN"/>
        </w:rPr>
        <w:t>生产</w:t>
      </w:r>
      <w:r>
        <w:rPr>
          <w:rFonts w:hint="eastAsia"/>
          <w:sz w:val="28"/>
          <w:szCs w:val="28"/>
          <w:highlight w:val="none"/>
        </w:rPr>
        <w:t>规模、生产地点、生产工艺及环保设施的变动</w:t>
      </w:r>
      <w:r>
        <w:rPr>
          <w:sz w:val="28"/>
          <w:szCs w:val="28"/>
          <w:highlight w:val="none"/>
        </w:rPr>
        <w:t>，根据</w:t>
      </w:r>
      <w:r>
        <w:rPr>
          <w:rFonts w:hint="eastAsia"/>
          <w:sz w:val="28"/>
          <w:szCs w:val="28"/>
          <w:highlight w:val="none"/>
        </w:rPr>
        <w:t>《关于印发污染影响类建设项目重大变动清单（试行）的通知》环评函[2020]688号</w:t>
      </w:r>
      <w:r>
        <w:rPr>
          <w:sz w:val="28"/>
          <w:szCs w:val="28"/>
          <w:highlight w:val="none"/>
        </w:rPr>
        <w:t>，项目不涉及重大变更。</w:t>
      </w:r>
    </w:p>
    <w:p>
      <w:pPr>
        <w:tabs>
          <w:tab w:val="left" w:pos="220"/>
        </w:tabs>
        <w:spacing w:line="360" w:lineRule="auto"/>
        <w:ind w:left="233" w:leftChars="111" w:firstLine="604" w:firstLineChars="216"/>
        <w:jc w:val="left"/>
        <w:rPr>
          <w:sz w:val="28"/>
          <w:szCs w:val="28"/>
          <w:highlight w:val="none"/>
        </w:rPr>
      </w:pPr>
      <w:r>
        <w:rPr>
          <w:rFonts w:hint="eastAsia"/>
          <w:sz w:val="28"/>
          <w:szCs w:val="28"/>
          <w:highlight w:val="none"/>
        </w:rPr>
        <w:t>三、</w:t>
      </w:r>
      <w:r>
        <w:rPr>
          <w:sz w:val="28"/>
          <w:szCs w:val="28"/>
          <w:highlight w:val="none"/>
        </w:rPr>
        <w:t>环境保护设施落实情况</w:t>
      </w:r>
    </w:p>
    <w:p>
      <w:pPr>
        <w:pStyle w:val="12"/>
        <w:spacing w:before="156" w:beforeLines="50" w:line="360" w:lineRule="auto"/>
        <w:ind w:left="233" w:leftChars="111" w:firstLine="604" w:firstLineChars="216"/>
        <w:rPr>
          <w:sz w:val="28"/>
          <w:szCs w:val="28"/>
          <w:highlight w:val="none"/>
        </w:rPr>
      </w:pPr>
      <w:r>
        <w:rPr>
          <w:sz w:val="28"/>
          <w:szCs w:val="28"/>
          <w:highlight w:val="none"/>
        </w:rPr>
        <w:t>（一）废水污染源及其治理措施</w:t>
      </w:r>
    </w:p>
    <w:p>
      <w:pPr>
        <w:widowControl/>
        <w:spacing w:line="360" w:lineRule="auto"/>
        <w:ind w:left="233" w:leftChars="111" w:firstLine="604" w:firstLineChars="216"/>
        <w:jc w:val="left"/>
        <w:rPr>
          <w:sz w:val="28"/>
          <w:szCs w:val="28"/>
          <w:highlight w:val="none"/>
        </w:rPr>
      </w:pPr>
      <w:r>
        <w:rPr>
          <w:rFonts w:hint="eastAsia"/>
          <w:sz w:val="28"/>
          <w:szCs w:val="28"/>
          <w:highlight w:val="none"/>
        </w:rPr>
        <w:t>本项目切削液用水完全损耗，无生产废水产生，项目废水主要为生活污水。污水通入</w:t>
      </w:r>
      <w:r>
        <w:rPr>
          <w:rFonts w:hint="eastAsia"/>
          <w:sz w:val="28"/>
          <w:szCs w:val="28"/>
          <w:highlight w:val="none"/>
          <w:lang w:val="en-US" w:eastAsia="zh-CN"/>
        </w:rPr>
        <w:t>东阿县</w:t>
      </w:r>
      <w:r>
        <w:rPr>
          <w:rFonts w:hint="eastAsia"/>
          <w:sz w:val="28"/>
          <w:szCs w:val="28"/>
          <w:highlight w:val="none"/>
        </w:rPr>
        <w:t>华通轴承配件有限公司化粪池，预处理后经市政污水管网排入东阿县康达水务有限公</w:t>
      </w:r>
      <w:r>
        <w:rPr>
          <w:rFonts w:hint="eastAsia"/>
          <w:color w:val="000000" w:themeColor="text1"/>
          <w:sz w:val="28"/>
          <w:szCs w:val="28"/>
          <w:highlight w:val="none"/>
          <w14:textFill>
            <w14:solidFill>
              <w14:schemeClr w14:val="tx1"/>
            </w14:solidFill>
          </w14:textFill>
        </w:rPr>
        <w:t>司</w:t>
      </w:r>
      <w:r>
        <w:rPr>
          <w:rFonts w:hint="eastAsia"/>
          <w:color w:val="000000" w:themeColor="text1"/>
          <w:sz w:val="28"/>
          <w:szCs w:val="28"/>
          <w:highlight w:val="none"/>
          <w:lang w:eastAsia="zh-CN"/>
          <w14:textFill>
            <w14:solidFill>
              <w14:schemeClr w14:val="tx1"/>
            </w14:solidFill>
          </w14:textFill>
        </w:rPr>
        <w:t>进一步处理</w:t>
      </w:r>
      <w:r>
        <w:rPr>
          <w:rFonts w:hint="eastAsia"/>
          <w:sz w:val="28"/>
          <w:szCs w:val="28"/>
          <w:highlight w:val="none"/>
        </w:rPr>
        <w:t>。</w:t>
      </w:r>
    </w:p>
    <w:p>
      <w:pPr>
        <w:widowControl/>
        <w:spacing w:line="360" w:lineRule="auto"/>
        <w:ind w:left="233" w:leftChars="111" w:firstLine="604" w:firstLineChars="216"/>
        <w:jc w:val="left"/>
        <w:rPr>
          <w:sz w:val="28"/>
          <w:szCs w:val="28"/>
          <w:highlight w:val="none"/>
        </w:rPr>
      </w:pPr>
      <w:r>
        <w:rPr>
          <w:sz w:val="28"/>
          <w:szCs w:val="28"/>
          <w:highlight w:val="none"/>
        </w:rPr>
        <w:t>（二）废气污染源及其治理措施</w:t>
      </w:r>
    </w:p>
    <w:p>
      <w:pPr>
        <w:spacing w:line="360" w:lineRule="auto"/>
        <w:ind w:left="233" w:leftChars="111" w:firstLine="604" w:firstLineChars="216"/>
        <w:jc w:val="left"/>
        <w:rPr>
          <w:snapToGrid w:val="0"/>
          <w:kern w:val="0"/>
          <w:sz w:val="28"/>
          <w:szCs w:val="28"/>
          <w:highlight w:val="none"/>
        </w:rPr>
      </w:pPr>
      <w:r>
        <w:rPr>
          <w:rFonts w:hint="eastAsia"/>
          <w:snapToGrid w:val="0"/>
          <w:kern w:val="0"/>
          <w:sz w:val="28"/>
          <w:szCs w:val="28"/>
          <w:highlight w:val="none"/>
        </w:rPr>
        <w:t>本项目废气主要为切割烟尘、打磨工序产生的粉尘、抛光工序产生的粉尘和焊接烟尘，</w:t>
      </w:r>
      <w:r>
        <w:rPr>
          <w:rFonts w:hint="eastAsia"/>
          <w:snapToGrid w:val="0"/>
          <w:color w:val="000000" w:themeColor="text1"/>
          <w:kern w:val="0"/>
          <w:sz w:val="28"/>
          <w:szCs w:val="28"/>
          <w:highlight w:val="none"/>
          <w14:textFill>
            <w14:solidFill>
              <w14:schemeClr w14:val="tx1"/>
            </w14:solidFill>
          </w14:textFill>
        </w:rPr>
        <w:t>经过集气罩和布袋除尘处理，经过15米高排气筒排放，</w:t>
      </w:r>
      <w:r>
        <w:rPr>
          <w:rFonts w:hint="eastAsia"/>
          <w:snapToGrid w:val="0"/>
          <w:kern w:val="0"/>
          <w:sz w:val="28"/>
          <w:szCs w:val="28"/>
          <w:highlight w:val="none"/>
        </w:rPr>
        <w:t>未被收集的废气</w:t>
      </w:r>
      <w:r>
        <w:rPr>
          <w:rFonts w:hint="eastAsia"/>
          <w:snapToGrid w:val="0"/>
          <w:kern w:val="0"/>
          <w:sz w:val="28"/>
          <w:szCs w:val="28"/>
          <w:highlight w:val="none"/>
          <w:lang w:val="en-US" w:eastAsia="zh-CN"/>
        </w:rPr>
        <w:t>沉</w:t>
      </w:r>
      <w:r>
        <w:rPr>
          <w:rFonts w:hint="eastAsia"/>
          <w:snapToGrid w:val="0"/>
          <w:kern w:val="0"/>
          <w:sz w:val="28"/>
          <w:szCs w:val="28"/>
          <w:highlight w:val="none"/>
        </w:rPr>
        <w:t>经厂界无组织排放。企业内设食堂产生油烟，经收集处理达标后排放</w:t>
      </w:r>
      <w:r>
        <w:rPr>
          <w:snapToGrid w:val="0"/>
          <w:kern w:val="0"/>
          <w:sz w:val="28"/>
          <w:szCs w:val="28"/>
          <w:highlight w:val="none"/>
        </w:rPr>
        <w:t>。</w:t>
      </w:r>
    </w:p>
    <w:p>
      <w:pPr>
        <w:spacing w:line="360" w:lineRule="auto"/>
        <w:ind w:left="233" w:leftChars="111" w:firstLine="604" w:firstLineChars="216"/>
        <w:jc w:val="left"/>
        <w:rPr>
          <w:snapToGrid w:val="0"/>
          <w:kern w:val="0"/>
          <w:sz w:val="28"/>
          <w:szCs w:val="28"/>
          <w:highlight w:val="none"/>
        </w:rPr>
      </w:pPr>
      <w:r>
        <w:rPr>
          <w:snapToGrid w:val="0"/>
          <w:kern w:val="0"/>
          <w:sz w:val="28"/>
          <w:szCs w:val="28"/>
          <w:highlight w:val="none"/>
        </w:rPr>
        <w:t>（三）噪声</w:t>
      </w:r>
    </w:p>
    <w:p>
      <w:pPr>
        <w:spacing w:line="360" w:lineRule="auto"/>
        <w:ind w:left="233" w:leftChars="111" w:firstLine="604" w:firstLineChars="216"/>
        <w:jc w:val="left"/>
        <w:rPr>
          <w:snapToGrid w:val="0"/>
          <w:kern w:val="0"/>
          <w:sz w:val="28"/>
          <w:szCs w:val="28"/>
          <w:highlight w:val="none"/>
        </w:rPr>
      </w:pPr>
      <w:r>
        <w:rPr>
          <w:rFonts w:hint="eastAsia"/>
          <w:snapToGrid w:val="0"/>
          <w:kern w:val="0"/>
          <w:sz w:val="28"/>
          <w:szCs w:val="28"/>
          <w:highlight w:val="none"/>
        </w:rPr>
        <w:t>项目噪声源主要为剪板机、雕刻机、冲床等设备运行时产生的噪声，所有生产设备均设置于生产车间内，经过基础减振，再经过厂房隔声、距离衰减等措施，降低对周围环境的影响。</w:t>
      </w:r>
      <w:r>
        <w:rPr>
          <w:snapToGrid w:val="0"/>
          <w:kern w:val="0"/>
          <w:sz w:val="28"/>
          <w:szCs w:val="28"/>
          <w:highlight w:val="none"/>
        </w:rPr>
        <w:t xml:space="preserve"> </w:t>
      </w:r>
    </w:p>
    <w:p>
      <w:pPr>
        <w:spacing w:line="360" w:lineRule="auto"/>
        <w:ind w:left="233" w:leftChars="111" w:firstLine="604" w:firstLineChars="216"/>
        <w:jc w:val="left"/>
        <w:rPr>
          <w:sz w:val="28"/>
          <w:szCs w:val="28"/>
          <w:highlight w:val="none"/>
        </w:rPr>
      </w:pPr>
      <w:r>
        <w:rPr>
          <w:sz w:val="28"/>
          <w:szCs w:val="28"/>
          <w:highlight w:val="none"/>
        </w:rPr>
        <w:t>（四）固体废物</w:t>
      </w:r>
    </w:p>
    <w:p>
      <w:pPr>
        <w:pStyle w:val="3"/>
        <w:keepNext w:val="0"/>
        <w:keepLines w:val="0"/>
        <w:pageBreakBefore w:val="0"/>
        <w:widowControl w:val="0"/>
        <w:kinsoku/>
        <w:wordWrap/>
        <w:overflowPunct/>
        <w:topLinePunct w:val="0"/>
        <w:autoSpaceDE/>
        <w:autoSpaceDN/>
        <w:bidi w:val="0"/>
        <w:adjustRightInd/>
        <w:snapToGrid/>
        <w:ind w:left="210" w:leftChars="100" w:firstLine="560" w:firstLineChars="200"/>
        <w:textAlignment w:val="auto"/>
        <w:rPr>
          <w:rFonts w:hint="eastAsia" w:ascii="Times New Roman" w:hAnsi="Times New Roman" w:eastAsia="宋体" w:cs="Times New Roman"/>
          <w:snapToGrid w:val="0"/>
          <w:kern w:val="0"/>
          <w:sz w:val="28"/>
          <w:szCs w:val="28"/>
          <w:highlight w:val="none"/>
          <w:lang w:val="en-US" w:eastAsia="zh-CN" w:bidi="ar-SA"/>
        </w:rPr>
      </w:pPr>
      <w:bookmarkStart w:id="0" w:name="_Hlk57898774"/>
      <w:r>
        <w:rPr>
          <w:rFonts w:hint="eastAsia" w:ascii="Times New Roman" w:hAnsi="Times New Roman" w:eastAsia="宋体" w:cs="Times New Roman"/>
          <w:snapToGrid w:val="0"/>
          <w:kern w:val="0"/>
          <w:sz w:val="28"/>
          <w:szCs w:val="28"/>
          <w:highlight w:val="none"/>
          <w:lang w:val="en-US" w:eastAsia="zh-CN" w:bidi="ar-SA"/>
        </w:rPr>
        <w:t>项目产生的固体废物主要为生产过程中产生的下脚料、除尘器收尘、布袋除尘器收尘、沉降的颗粒物、废砂纸、废液压油、废切削液及生活垃圾。危险废物废液压油、废切削液，暂时还未产生，产生后暂存于危废间并与有资质的单位签订合同，委托有资质的单位处理。其他不能回收利用的固体废物以及生活垃圾收集后由环卫部门定期清运</w:t>
      </w:r>
      <w:bookmarkEnd w:id="0"/>
      <w:r>
        <w:rPr>
          <w:rFonts w:hint="eastAsia" w:ascii="Times New Roman" w:hAnsi="Times New Roman" w:eastAsia="宋体" w:cs="Times New Roman"/>
          <w:snapToGrid w:val="0"/>
          <w:kern w:val="0"/>
          <w:sz w:val="28"/>
          <w:szCs w:val="28"/>
          <w:highlight w:val="none"/>
          <w:lang w:val="en-US" w:eastAsia="zh-CN" w:bidi="ar-SA"/>
        </w:rPr>
        <w:t>。</w:t>
      </w:r>
    </w:p>
    <w:p>
      <w:pPr>
        <w:pStyle w:val="12"/>
        <w:spacing w:line="360" w:lineRule="auto"/>
        <w:ind w:left="233" w:leftChars="111" w:firstLine="604" w:firstLineChars="216"/>
        <w:jc w:val="left"/>
        <w:rPr>
          <w:snapToGrid w:val="0"/>
          <w:kern w:val="0"/>
          <w:sz w:val="28"/>
          <w:szCs w:val="28"/>
          <w:highlight w:val="none"/>
        </w:rPr>
      </w:pPr>
      <w:r>
        <w:rPr>
          <w:snapToGrid w:val="0"/>
          <w:kern w:val="0"/>
          <w:sz w:val="28"/>
          <w:szCs w:val="28"/>
          <w:highlight w:val="none"/>
        </w:rPr>
        <w:t>四、验收监测结果</w:t>
      </w:r>
    </w:p>
    <w:p>
      <w:pPr>
        <w:spacing w:line="360" w:lineRule="auto"/>
        <w:ind w:left="233" w:leftChars="111" w:firstLine="604" w:firstLineChars="216"/>
        <w:jc w:val="left"/>
        <w:rPr>
          <w:sz w:val="28"/>
          <w:szCs w:val="28"/>
          <w:highlight w:val="none"/>
        </w:rPr>
      </w:pPr>
      <w:r>
        <w:rPr>
          <w:sz w:val="28"/>
          <w:szCs w:val="28"/>
          <w:highlight w:val="none"/>
        </w:rPr>
        <w:t>（一）环保设施运行检测结果</w:t>
      </w:r>
    </w:p>
    <w:p>
      <w:pPr>
        <w:widowControl/>
        <w:spacing w:line="360" w:lineRule="auto"/>
        <w:ind w:left="233" w:leftChars="111" w:firstLine="604" w:firstLineChars="216"/>
        <w:jc w:val="left"/>
        <w:rPr>
          <w:sz w:val="28"/>
          <w:szCs w:val="28"/>
          <w:highlight w:val="none"/>
        </w:rPr>
      </w:pPr>
      <w:r>
        <w:rPr>
          <w:sz w:val="28"/>
          <w:szCs w:val="28"/>
          <w:highlight w:val="none"/>
        </w:rPr>
        <w:t>山东聊和环保科技有限公司出具的《</w:t>
      </w:r>
      <w:r>
        <w:rPr>
          <w:rFonts w:hint="eastAsia"/>
          <w:sz w:val="28"/>
          <w:szCs w:val="28"/>
          <w:highlight w:val="none"/>
        </w:rPr>
        <w:t>聊城博凡建材有限公司年加工30万平方米铝单板项目</w:t>
      </w:r>
      <w:r>
        <w:rPr>
          <w:rFonts w:hint="eastAsia"/>
          <w:sz w:val="28"/>
          <w:szCs w:val="28"/>
          <w:highlight w:val="none"/>
          <w:lang w:eastAsia="zh-CN"/>
        </w:rPr>
        <w:t>（</w:t>
      </w:r>
      <w:r>
        <w:rPr>
          <w:rFonts w:hint="eastAsia"/>
          <w:sz w:val="28"/>
          <w:szCs w:val="28"/>
          <w:highlight w:val="none"/>
          <w:lang w:val="en-US" w:eastAsia="zh-CN"/>
        </w:rPr>
        <w:t>一期</w:t>
      </w:r>
      <w:r>
        <w:rPr>
          <w:rFonts w:hint="eastAsia"/>
          <w:sz w:val="28"/>
          <w:szCs w:val="28"/>
          <w:highlight w:val="none"/>
          <w:lang w:eastAsia="zh-CN"/>
        </w:rPr>
        <w:t>）</w:t>
      </w:r>
      <w:r>
        <w:rPr>
          <w:sz w:val="28"/>
          <w:szCs w:val="28"/>
          <w:highlight w:val="none"/>
        </w:rPr>
        <w:t>竣工环境保护验收监测报告》监测结果表明：</w:t>
      </w:r>
    </w:p>
    <w:p>
      <w:pPr>
        <w:numPr>
          <w:ilvl w:val="0"/>
          <w:numId w:val="1"/>
        </w:numPr>
        <w:spacing w:line="360" w:lineRule="auto"/>
        <w:ind w:left="233" w:leftChars="111" w:firstLine="604" w:firstLineChars="216"/>
        <w:jc w:val="left"/>
        <w:rPr>
          <w:sz w:val="28"/>
          <w:szCs w:val="28"/>
          <w:highlight w:val="none"/>
        </w:rPr>
      </w:pPr>
      <w:r>
        <w:rPr>
          <w:sz w:val="28"/>
          <w:szCs w:val="28"/>
          <w:highlight w:val="none"/>
        </w:rPr>
        <w:t>废水</w:t>
      </w:r>
    </w:p>
    <w:p>
      <w:pPr>
        <w:spacing w:line="360" w:lineRule="auto"/>
        <w:ind w:left="233" w:leftChars="111" w:firstLine="604" w:firstLineChars="216"/>
        <w:rPr>
          <w:sz w:val="28"/>
          <w:szCs w:val="28"/>
          <w:highlight w:val="none"/>
        </w:rPr>
      </w:pPr>
      <w:r>
        <w:rPr>
          <w:rFonts w:hint="eastAsia"/>
          <w:sz w:val="28"/>
          <w:szCs w:val="28"/>
          <w:highlight w:val="none"/>
        </w:rPr>
        <w:t>无生产废水，生活废水</w:t>
      </w:r>
      <w:r>
        <w:rPr>
          <w:rFonts w:hint="eastAsia"/>
          <w:sz w:val="28"/>
          <w:szCs w:val="28"/>
          <w:highlight w:val="none"/>
          <w:lang w:eastAsia="zh-CN"/>
        </w:rPr>
        <w:t>委托东阿县</w:t>
      </w:r>
      <w:r>
        <w:rPr>
          <w:rFonts w:hint="eastAsia"/>
          <w:sz w:val="28"/>
          <w:szCs w:val="28"/>
          <w:highlight w:val="none"/>
        </w:rPr>
        <w:t>华通轴承配件有限公司处理。</w:t>
      </w:r>
    </w:p>
    <w:p>
      <w:pPr>
        <w:numPr>
          <w:ilvl w:val="0"/>
          <w:numId w:val="2"/>
        </w:numPr>
        <w:spacing w:line="360" w:lineRule="auto"/>
        <w:ind w:left="233" w:leftChars="111" w:firstLine="604" w:firstLineChars="216"/>
        <w:jc w:val="left"/>
        <w:rPr>
          <w:sz w:val="28"/>
          <w:szCs w:val="28"/>
          <w:highlight w:val="none"/>
        </w:rPr>
      </w:pPr>
      <w:r>
        <w:rPr>
          <w:sz w:val="28"/>
          <w:szCs w:val="28"/>
          <w:highlight w:val="none"/>
        </w:rPr>
        <w:t>废气</w:t>
      </w:r>
    </w:p>
    <w:p>
      <w:pPr>
        <w:pStyle w:val="12"/>
        <w:ind w:left="210" w:leftChars="100" w:firstLine="560"/>
        <w:rPr>
          <w:sz w:val="28"/>
          <w:szCs w:val="28"/>
          <w:highlight w:val="none"/>
        </w:rPr>
      </w:pPr>
      <w:r>
        <w:rPr>
          <w:rFonts w:hint="eastAsia"/>
          <w:sz w:val="28"/>
          <w:szCs w:val="28"/>
          <w:highlight w:val="none"/>
        </w:rPr>
        <w:t>验收期间，无组织颗粒物小时浓度最高为</w:t>
      </w:r>
      <w:r>
        <w:rPr>
          <w:sz w:val="28"/>
          <w:szCs w:val="28"/>
          <w:highlight w:val="none"/>
        </w:rPr>
        <w:t>0.557mg/m</w:t>
      </w:r>
      <w:r>
        <w:rPr>
          <w:sz w:val="28"/>
          <w:szCs w:val="28"/>
          <w:highlight w:val="none"/>
          <w:vertAlign w:val="superscript"/>
        </w:rPr>
        <w:t>3</w:t>
      </w:r>
      <w:r>
        <w:rPr>
          <w:sz w:val="28"/>
          <w:szCs w:val="28"/>
          <w:highlight w:val="none"/>
        </w:rPr>
        <w:t>，满足《大气污染物综合排放标准》表2相关限值要求；有组织油烟最高排放浓度为0.56mg/m</w:t>
      </w:r>
      <w:r>
        <w:rPr>
          <w:sz w:val="28"/>
          <w:szCs w:val="28"/>
          <w:highlight w:val="none"/>
          <w:vertAlign w:val="superscript"/>
        </w:rPr>
        <w:t>3</w:t>
      </w:r>
      <w:r>
        <w:rPr>
          <w:sz w:val="28"/>
          <w:szCs w:val="28"/>
          <w:highlight w:val="none"/>
        </w:rPr>
        <w:t>，满足《饮食业油烟排放标准》（DB37/597-2006）标准要求相关限值要求；有组织颗粒物排放最高浓度为3.1mg/m</w:t>
      </w:r>
      <w:r>
        <w:rPr>
          <w:sz w:val="28"/>
          <w:szCs w:val="28"/>
          <w:highlight w:val="none"/>
          <w:vertAlign w:val="superscript"/>
        </w:rPr>
        <w:t>3</w:t>
      </w:r>
      <w:r>
        <w:rPr>
          <w:sz w:val="28"/>
          <w:szCs w:val="28"/>
          <w:highlight w:val="none"/>
        </w:rPr>
        <w:t>，最高排放速率为9.4×10</w:t>
      </w:r>
      <w:r>
        <w:rPr>
          <w:sz w:val="28"/>
          <w:szCs w:val="28"/>
          <w:highlight w:val="none"/>
          <w:vertAlign w:val="superscript"/>
        </w:rPr>
        <w:t>-3</w:t>
      </w:r>
      <w:r>
        <w:rPr>
          <w:sz w:val="28"/>
          <w:szCs w:val="28"/>
          <w:highlight w:val="none"/>
        </w:rPr>
        <w:t>kg/h，</w:t>
      </w:r>
      <w:r>
        <w:rPr>
          <w:color w:val="000000" w:themeColor="text1"/>
          <w:sz w:val="28"/>
          <w:szCs w:val="28"/>
          <w:highlight w:val="none"/>
          <w14:textFill>
            <w14:solidFill>
              <w14:schemeClr w14:val="tx1"/>
            </w14:solidFill>
          </w14:textFill>
        </w:rPr>
        <w:t>满足《</w:t>
      </w:r>
      <w:bookmarkStart w:id="1" w:name="_GoBack"/>
      <w:bookmarkEnd w:id="1"/>
      <w:r>
        <w:rPr>
          <w:color w:val="000000" w:themeColor="text1"/>
          <w:sz w:val="28"/>
          <w:szCs w:val="28"/>
          <w:highlight w:val="none"/>
          <w14:textFill>
            <w14:solidFill>
              <w14:schemeClr w14:val="tx1"/>
            </w14:solidFill>
          </w14:textFill>
        </w:rPr>
        <w:t>区域性大气污染物综合排放标准》（DB37/2376-</w:t>
      </w:r>
      <w:r>
        <w:rPr>
          <w:rFonts w:hint="eastAsia"/>
          <w:color w:val="000000" w:themeColor="text1"/>
          <w:sz w:val="28"/>
          <w:szCs w:val="28"/>
          <w:highlight w:val="none"/>
          <w:lang w:val="en-US" w:eastAsia="zh-CN"/>
          <w14:textFill>
            <w14:solidFill>
              <w14:schemeClr w14:val="tx1"/>
            </w14:solidFill>
          </w14:textFill>
        </w:rPr>
        <w:t>2019</w:t>
      </w:r>
      <w:r>
        <w:rPr>
          <w:color w:val="000000" w:themeColor="text1"/>
          <w:sz w:val="28"/>
          <w:szCs w:val="28"/>
          <w:highlight w:val="none"/>
          <w14:textFill>
            <w14:solidFill>
              <w14:schemeClr w14:val="tx1"/>
            </w14:solidFill>
          </w14:textFill>
        </w:rPr>
        <w:t>）表2</w:t>
      </w:r>
      <w:r>
        <w:rPr>
          <w:sz w:val="28"/>
          <w:szCs w:val="28"/>
          <w:highlight w:val="none"/>
        </w:rPr>
        <w:t>中“一般控制区”、《大气污染物综合排放标准》（GB16297-1996）表2标准要求的20mg/m</w:t>
      </w:r>
      <w:r>
        <w:rPr>
          <w:sz w:val="28"/>
          <w:szCs w:val="28"/>
          <w:highlight w:val="none"/>
          <w:vertAlign w:val="superscript"/>
        </w:rPr>
        <w:t>3</w:t>
      </w:r>
      <w:r>
        <w:rPr>
          <w:sz w:val="28"/>
          <w:szCs w:val="28"/>
          <w:highlight w:val="none"/>
        </w:rPr>
        <w:t>、3.5kg/h相关限值要求。</w:t>
      </w:r>
    </w:p>
    <w:p>
      <w:pPr>
        <w:spacing w:line="360" w:lineRule="auto"/>
        <w:ind w:left="233" w:leftChars="111" w:firstLine="604" w:firstLineChars="216"/>
        <w:jc w:val="left"/>
        <w:rPr>
          <w:sz w:val="28"/>
          <w:szCs w:val="28"/>
          <w:highlight w:val="none"/>
        </w:rPr>
      </w:pPr>
      <w:r>
        <w:rPr>
          <w:sz w:val="28"/>
          <w:szCs w:val="28"/>
          <w:highlight w:val="none"/>
        </w:rPr>
        <w:t>3. 噪声</w:t>
      </w:r>
    </w:p>
    <w:p>
      <w:pPr>
        <w:spacing w:line="360" w:lineRule="auto"/>
        <w:ind w:left="216" w:leftChars="103" w:firstLine="560" w:firstLineChars="200"/>
        <w:rPr>
          <w:sz w:val="28"/>
          <w:szCs w:val="28"/>
          <w:highlight w:val="none"/>
        </w:rPr>
      </w:pPr>
      <w:r>
        <w:rPr>
          <w:rFonts w:hint="eastAsia"/>
          <w:sz w:val="28"/>
          <w:szCs w:val="28"/>
          <w:highlight w:val="none"/>
        </w:rPr>
        <w:t>验收监测期间，监测点位昼间噪声在55.5-57.4 (dB)之间，夜间不生产，符合《工业企业厂界环境噪声排放标准》（GB12348－2008）中的3类标准限值</w:t>
      </w:r>
      <w:r>
        <w:rPr>
          <w:sz w:val="28"/>
          <w:szCs w:val="28"/>
          <w:highlight w:val="none"/>
        </w:rPr>
        <w:t>。</w:t>
      </w:r>
    </w:p>
    <w:p>
      <w:pPr>
        <w:numPr>
          <w:ilvl w:val="0"/>
          <w:numId w:val="3"/>
        </w:numPr>
        <w:spacing w:line="360" w:lineRule="auto"/>
        <w:ind w:left="233" w:leftChars="111" w:firstLine="604" w:firstLineChars="216"/>
        <w:rPr>
          <w:sz w:val="28"/>
          <w:szCs w:val="28"/>
          <w:highlight w:val="none"/>
        </w:rPr>
      </w:pPr>
      <w:r>
        <w:rPr>
          <w:sz w:val="28"/>
          <w:szCs w:val="28"/>
          <w:highlight w:val="none"/>
        </w:rPr>
        <w:t>固体废物</w:t>
      </w:r>
    </w:p>
    <w:p>
      <w:pPr>
        <w:spacing w:line="360" w:lineRule="auto"/>
        <w:ind w:left="233" w:leftChars="111" w:firstLine="604" w:firstLineChars="216"/>
        <w:rPr>
          <w:sz w:val="28"/>
          <w:szCs w:val="28"/>
          <w:highlight w:val="none"/>
        </w:rPr>
      </w:pPr>
      <w:r>
        <w:rPr>
          <w:rFonts w:hint="eastAsia"/>
          <w:sz w:val="28"/>
          <w:szCs w:val="28"/>
          <w:highlight w:val="none"/>
          <w:lang w:val="zh-CN"/>
        </w:rPr>
        <w:t>项目产生的固体废物主要为生产过程中产生的下脚料、除尘器收尘、布袋除尘器收尘、沉降的颗粒物、废砂纸、废液压油、废切削液及生活垃圾。危险废物废液压油、废切削液经收集后储存在危废间内，委托有资质的单位处理。其他不能回收利用的固体废物以及生活垃圾收集后由环卫部门定期清运</w:t>
      </w:r>
      <w:r>
        <w:rPr>
          <w:sz w:val="28"/>
          <w:szCs w:val="28"/>
          <w:highlight w:val="none"/>
        </w:rPr>
        <w:t>。</w:t>
      </w:r>
    </w:p>
    <w:p>
      <w:pPr>
        <w:spacing w:line="360" w:lineRule="auto"/>
        <w:ind w:left="233" w:leftChars="111" w:firstLine="604" w:firstLineChars="216"/>
        <w:jc w:val="left"/>
        <w:rPr>
          <w:sz w:val="28"/>
          <w:szCs w:val="28"/>
          <w:highlight w:val="none"/>
        </w:rPr>
      </w:pPr>
      <w:r>
        <w:rPr>
          <w:sz w:val="28"/>
          <w:szCs w:val="28"/>
          <w:highlight w:val="none"/>
        </w:rPr>
        <w:t>（二）环境管理调查</w:t>
      </w:r>
    </w:p>
    <w:p>
      <w:pPr>
        <w:spacing w:line="360" w:lineRule="auto"/>
        <w:ind w:left="233" w:leftChars="111" w:firstLine="604" w:firstLineChars="216"/>
        <w:rPr>
          <w:sz w:val="28"/>
          <w:szCs w:val="28"/>
          <w:highlight w:val="none"/>
        </w:rPr>
      </w:pPr>
      <w:r>
        <w:rPr>
          <w:rFonts w:hint="eastAsia"/>
          <w:sz w:val="28"/>
          <w:szCs w:val="28"/>
          <w:highlight w:val="none"/>
        </w:rPr>
        <w:t>聊城博凡建材有限公司</w:t>
      </w:r>
      <w:r>
        <w:rPr>
          <w:sz w:val="28"/>
          <w:szCs w:val="28"/>
          <w:highlight w:val="none"/>
        </w:rPr>
        <w:t>制定了《</w:t>
      </w:r>
      <w:r>
        <w:rPr>
          <w:rFonts w:hint="eastAsia"/>
          <w:sz w:val="28"/>
          <w:szCs w:val="28"/>
          <w:highlight w:val="none"/>
        </w:rPr>
        <w:t>聊城博凡建材有限公司环保管理制度</w:t>
      </w:r>
      <w:r>
        <w:rPr>
          <w:sz w:val="28"/>
          <w:szCs w:val="28"/>
          <w:highlight w:val="none"/>
        </w:rPr>
        <w:t>》，并设立了相关机构。日常工作由</w:t>
      </w:r>
      <w:r>
        <w:rPr>
          <w:rFonts w:hint="eastAsia"/>
          <w:sz w:val="28"/>
          <w:szCs w:val="28"/>
          <w:highlight w:val="none"/>
        </w:rPr>
        <w:t>办公室</w:t>
      </w:r>
      <w:r>
        <w:rPr>
          <w:sz w:val="28"/>
          <w:szCs w:val="28"/>
          <w:highlight w:val="none"/>
        </w:rPr>
        <w:t>管理，其主要职责是：行使公司环保工作的计划、组织、指挥、协调、检查和考核管理职能，日常一切工作须对公司负责。</w:t>
      </w:r>
    </w:p>
    <w:p>
      <w:pPr>
        <w:spacing w:line="360" w:lineRule="auto"/>
        <w:ind w:left="233" w:leftChars="111" w:firstLine="604" w:firstLineChars="216"/>
        <w:jc w:val="left"/>
        <w:rPr>
          <w:sz w:val="28"/>
          <w:szCs w:val="28"/>
          <w:highlight w:val="none"/>
        </w:rPr>
      </w:pPr>
      <w:r>
        <w:rPr>
          <w:sz w:val="28"/>
          <w:szCs w:val="28"/>
          <w:highlight w:val="none"/>
        </w:rPr>
        <w:t>五、专家意见：</w:t>
      </w:r>
    </w:p>
    <w:p>
      <w:pPr>
        <w:pStyle w:val="5"/>
        <w:numPr>
          <w:ilvl w:val="0"/>
          <w:numId w:val="4"/>
        </w:numPr>
        <w:spacing w:line="360" w:lineRule="auto"/>
        <w:ind w:left="233" w:leftChars="111" w:firstLine="604" w:firstLineChars="216"/>
        <w:rPr>
          <w:rFonts w:ascii="Times New Roman" w:hAnsi="Times New Roman" w:cs="Times New Roman"/>
          <w:sz w:val="28"/>
          <w:szCs w:val="28"/>
          <w:highlight w:val="none"/>
        </w:rPr>
      </w:pPr>
      <w:r>
        <w:rPr>
          <w:rFonts w:hint="eastAsia" w:ascii="Times New Roman" w:hAnsi="Times New Roman" w:cs="Times New Roman"/>
          <w:sz w:val="28"/>
          <w:szCs w:val="28"/>
          <w:highlight w:val="none"/>
          <w:lang w:val="en-US" w:eastAsia="zh-CN"/>
        </w:rPr>
        <w:t>焊接区域、打磨区域废气收集效率较低，须加大集气罩收集面积，降低集气罩高度；</w:t>
      </w:r>
    </w:p>
    <w:p>
      <w:pPr>
        <w:pStyle w:val="5"/>
        <w:numPr>
          <w:ilvl w:val="0"/>
          <w:numId w:val="4"/>
        </w:numPr>
        <w:spacing w:line="360" w:lineRule="auto"/>
        <w:ind w:left="233" w:leftChars="111" w:firstLine="604" w:firstLineChars="216"/>
        <w:rPr>
          <w:rFonts w:ascii="Times New Roman" w:hAnsi="Times New Roman" w:cs="Times New Roman"/>
          <w:sz w:val="28"/>
          <w:szCs w:val="28"/>
          <w:highlight w:val="none"/>
        </w:rPr>
      </w:pPr>
      <w:r>
        <w:rPr>
          <w:rFonts w:hint="eastAsia" w:ascii="Times New Roman" w:hAnsi="Times New Roman" w:cs="Times New Roman"/>
          <w:sz w:val="28"/>
          <w:szCs w:val="28"/>
          <w:highlight w:val="none"/>
          <w:lang w:val="en-US" w:eastAsia="zh-CN"/>
        </w:rPr>
        <w:t>废气排放口缺少标识牌</w:t>
      </w:r>
      <w:r>
        <w:rPr>
          <w:rFonts w:hint="eastAsia"/>
          <w:lang w:eastAsia="zh-CN"/>
        </w:rPr>
        <w:t>；</w:t>
      </w:r>
    </w:p>
    <w:p>
      <w:pPr>
        <w:pStyle w:val="5"/>
        <w:numPr>
          <w:ilvl w:val="0"/>
          <w:numId w:val="4"/>
        </w:numPr>
        <w:spacing w:line="360" w:lineRule="auto"/>
        <w:ind w:left="233" w:leftChars="111" w:firstLine="604" w:firstLineChars="216"/>
        <w:rPr>
          <w:rFonts w:ascii="Times New Roman" w:hAnsi="Times New Roman" w:cs="Times New Roman"/>
          <w:sz w:val="28"/>
          <w:szCs w:val="28"/>
          <w:highlight w:val="none"/>
        </w:rPr>
      </w:pPr>
      <w:r>
        <w:rPr>
          <w:rFonts w:hint="eastAsia" w:ascii="Times New Roman" w:hAnsi="Times New Roman" w:cs="Times New Roman"/>
          <w:sz w:val="28"/>
          <w:szCs w:val="28"/>
          <w:highlight w:val="none"/>
        </w:rPr>
        <w:t>清理危废暂存间内杂物，危险废物分类存放；完善台账；</w:t>
      </w:r>
    </w:p>
    <w:p>
      <w:pPr>
        <w:pStyle w:val="5"/>
        <w:numPr>
          <w:ilvl w:val="0"/>
          <w:numId w:val="4"/>
        </w:numPr>
        <w:spacing w:line="360" w:lineRule="auto"/>
        <w:ind w:left="233" w:leftChars="111" w:firstLine="604" w:firstLineChars="216"/>
        <w:rPr>
          <w:rFonts w:ascii="Times New Roman" w:hAnsi="Times New Roman" w:cs="Times New Roman"/>
          <w:sz w:val="28"/>
          <w:szCs w:val="28"/>
          <w:highlight w:val="none"/>
        </w:rPr>
      </w:pPr>
      <w:r>
        <w:rPr>
          <w:rFonts w:hint="eastAsia" w:ascii="Times New Roman" w:hAnsi="Times New Roman" w:cs="Times New Roman"/>
          <w:sz w:val="28"/>
          <w:szCs w:val="28"/>
          <w:highlight w:val="none"/>
        </w:rPr>
        <w:t>保持厂区卫生，注意清洁生产。</w:t>
      </w:r>
    </w:p>
    <w:p>
      <w:pPr>
        <w:spacing w:line="360" w:lineRule="auto"/>
        <w:ind w:left="233" w:leftChars="111" w:firstLine="604" w:firstLineChars="216"/>
        <w:jc w:val="left"/>
        <w:rPr>
          <w:sz w:val="28"/>
          <w:szCs w:val="28"/>
          <w:highlight w:val="none"/>
        </w:rPr>
      </w:pPr>
      <w:r>
        <w:rPr>
          <w:sz w:val="28"/>
          <w:szCs w:val="28"/>
          <w:highlight w:val="none"/>
        </w:rPr>
        <w:t>六、验收结论</w:t>
      </w:r>
    </w:p>
    <w:p>
      <w:pPr>
        <w:spacing w:line="360" w:lineRule="auto"/>
        <w:ind w:left="233" w:leftChars="111" w:firstLine="604" w:firstLineChars="216"/>
        <w:rPr>
          <w:sz w:val="28"/>
          <w:szCs w:val="28"/>
          <w:highlight w:val="none"/>
        </w:rPr>
      </w:pPr>
      <w:r>
        <w:rPr>
          <w:sz w:val="28"/>
          <w:szCs w:val="28"/>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sz w:val="28"/>
          <w:szCs w:val="28"/>
          <w:highlight w:val="none"/>
        </w:rPr>
      </w:pPr>
      <w:r>
        <w:rPr>
          <w:sz w:val="28"/>
          <w:szCs w:val="28"/>
          <w:highlight w:val="none"/>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604" w:firstLineChars="216"/>
        <w:jc w:val="right"/>
        <w:rPr>
          <w:sz w:val="28"/>
          <w:szCs w:val="28"/>
          <w:highlight w:val="none"/>
        </w:rPr>
      </w:pPr>
    </w:p>
    <w:p>
      <w:pPr>
        <w:pStyle w:val="11"/>
        <w:rPr>
          <w:rFonts w:hint="eastAsia"/>
          <w:sz w:val="28"/>
          <w:szCs w:val="28"/>
          <w:highlight w:val="none"/>
        </w:rPr>
      </w:pPr>
    </w:p>
    <w:p>
      <w:pPr>
        <w:pStyle w:val="11"/>
        <w:rPr>
          <w:rFonts w:hint="eastAsia"/>
          <w:sz w:val="28"/>
          <w:szCs w:val="28"/>
          <w:highlight w:val="none"/>
        </w:rPr>
      </w:pPr>
    </w:p>
    <w:p>
      <w:pPr>
        <w:spacing w:line="360" w:lineRule="auto"/>
        <w:ind w:left="233" w:leftChars="111" w:firstLine="604" w:firstLineChars="216"/>
        <w:jc w:val="right"/>
        <w:rPr>
          <w:sz w:val="28"/>
          <w:szCs w:val="28"/>
          <w:highlight w:val="none"/>
        </w:rPr>
      </w:pPr>
      <w:r>
        <w:rPr>
          <w:rFonts w:hint="eastAsia"/>
          <w:sz w:val="28"/>
          <w:szCs w:val="28"/>
          <w:highlight w:val="none"/>
        </w:rPr>
        <w:t>聊城博凡建材有限公司</w:t>
      </w:r>
      <w:r>
        <w:rPr>
          <w:sz w:val="28"/>
          <w:szCs w:val="28"/>
          <w:highlight w:val="none"/>
        </w:rPr>
        <w:t>验收组</w:t>
      </w:r>
    </w:p>
    <w:p>
      <w:pPr>
        <w:spacing w:line="360" w:lineRule="auto"/>
        <w:ind w:left="233" w:leftChars="111" w:firstLine="604" w:firstLineChars="216"/>
        <w:jc w:val="right"/>
        <w:rPr>
          <w:color w:val="000000" w:themeColor="text1"/>
          <w:sz w:val="28"/>
          <w:szCs w:val="28"/>
          <w:highlight w:val="none"/>
          <w14:textFill>
            <w14:solidFill>
              <w14:schemeClr w14:val="tx1"/>
            </w14:solidFill>
          </w14:textFill>
        </w:rPr>
      </w:pPr>
      <w:r>
        <w:rPr>
          <w:color w:val="00B0F0"/>
          <w:sz w:val="28"/>
          <w:szCs w:val="28"/>
          <w:highlight w:val="none"/>
        </w:rPr>
        <w:t xml:space="preserve">                          </w:t>
      </w:r>
      <w:r>
        <w:rPr>
          <w:color w:val="000000" w:themeColor="text1"/>
          <w:sz w:val="28"/>
          <w:szCs w:val="28"/>
          <w:highlight w:val="none"/>
          <w14:textFill>
            <w14:solidFill>
              <w14:schemeClr w14:val="tx1"/>
            </w14:solidFill>
          </w14:textFill>
        </w:rPr>
        <w:t xml:space="preserve">      20</w:t>
      </w:r>
      <w:r>
        <w:rPr>
          <w:rFonts w:hint="eastAsia"/>
          <w:color w:val="000000" w:themeColor="text1"/>
          <w:sz w:val="28"/>
          <w:szCs w:val="28"/>
          <w:highlight w:val="none"/>
          <w14:textFill>
            <w14:solidFill>
              <w14:schemeClr w14:val="tx1"/>
            </w14:solidFill>
          </w14:textFill>
        </w:rPr>
        <w:t>20</w:t>
      </w:r>
      <w:r>
        <w:rPr>
          <w:color w:val="000000" w:themeColor="text1"/>
          <w:sz w:val="28"/>
          <w:szCs w:val="28"/>
          <w:highlight w:val="none"/>
          <w14:textFill>
            <w14:solidFill>
              <w14:schemeClr w14:val="tx1"/>
            </w14:solidFill>
          </w14:textFill>
        </w:rPr>
        <w:t>年12月</w:t>
      </w:r>
      <w:r>
        <w:rPr>
          <w:rFonts w:hint="eastAsia"/>
          <w:color w:val="000000" w:themeColor="text1"/>
          <w:sz w:val="28"/>
          <w:szCs w:val="28"/>
          <w:highlight w:val="none"/>
          <w:lang w:val="en-US" w:eastAsia="zh-CN"/>
          <w14:textFill>
            <w14:solidFill>
              <w14:schemeClr w14:val="tx1"/>
            </w14:solidFill>
          </w14:textFill>
        </w:rPr>
        <w:t>11</w:t>
      </w:r>
      <w:r>
        <w:rPr>
          <w:color w:val="000000" w:themeColor="text1"/>
          <w:sz w:val="28"/>
          <w:szCs w:val="28"/>
          <w:highlight w:val="none"/>
          <w14:textFill>
            <w14:solidFill>
              <w14:schemeClr w14:val="tx1"/>
            </w14:solidFill>
          </w14:textFill>
        </w:rPr>
        <w:t>日</w:t>
      </w:r>
    </w:p>
    <w:sectPr>
      <w:footerReference r:id="rId3"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firstLine="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D29"/>
    <w:rsid w:val="00437BF8"/>
    <w:rsid w:val="00463E2E"/>
    <w:rsid w:val="00465CD1"/>
    <w:rsid w:val="007B2D14"/>
    <w:rsid w:val="00D358EE"/>
    <w:rsid w:val="00E421CE"/>
    <w:rsid w:val="00F50C93"/>
    <w:rsid w:val="00F9558F"/>
    <w:rsid w:val="00FE3D29"/>
    <w:rsid w:val="01A67464"/>
    <w:rsid w:val="02E1230E"/>
    <w:rsid w:val="0363342C"/>
    <w:rsid w:val="0400088B"/>
    <w:rsid w:val="0705220E"/>
    <w:rsid w:val="07D23E1C"/>
    <w:rsid w:val="0A775B6C"/>
    <w:rsid w:val="0BB105F9"/>
    <w:rsid w:val="0BCD78E3"/>
    <w:rsid w:val="0BD4352F"/>
    <w:rsid w:val="0D002E61"/>
    <w:rsid w:val="0E9F521D"/>
    <w:rsid w:val="110D6D4E"/>
    <w:rsid w:val="126A6033"/>
    <w:rsid w:val="13242E95"/>
    <w:rsid w:val="14BB66C9"/>
    <w:rsid w:val="17073D8B"/>
    <w:rsid w:val="188E6607"/>
    <w:rsid w:val="18D05E89"/>
    <w:rsid w:val="19BD6A9B"/>
    <w:rsid w:val="1AAF6CA7"/>
    <w:rsid w:val="1B753DC5"/>
    <w:rsid w:val="1DCD1CD5"/>
    <w:rsid w:val="1E9D1B02"/>
    <w:rsid w:val="20F95110"/>
    <w:rsid w:val="21E62141"/>
    <w:rsid w:val="23253252"/>
    <w:rsid w:val="249805F5"/>
    <w:rsid w:val="24DD3549"/>
    <w:rsid w:val="27420539"/>
    <w:rsid w:val="27776D4F"/>
    <w:rsid w:val="284C33EF"/>
    <w:rsid w:val="286B6E9D"/>
    <w:rsid w:val="2A636C42"/>
    <w:rsid w:val="2BD129D7"/>
    <w:rsid w:val="2BFB35B9"/>
    <w:rsid w:val="2C8345D6"/>
    <w:rsid w:val="2DAE28FA"/>
    <w:rsid w:val="2DE61E9D"/>
    <w:rsid w:val="2E594393"/>
    <w:rsid w:val="2FB9628E"/>
    <w:rsid w:val="31572BC2"/>
    <w:rsid w:val="33E80446"/>
    <w:rsid w:val="35A21894"/>
    <w:rsid w:val="35C516FE"/>
    <w:rsid w:val="35CA7C00"/>
    <w:rsid w:val="371221B6"/>
    <w:rsid w:val="3B2962D5"/>
    <w:rsid w:val="3B9345B4"/>
    <w:rsid w:val="3C495586"/>
    <w:rsid w:val="3C614E95"/>
    <w:rsid w:val="3D216C63"/>
    <w:rsid w:val="3D481CA9"/>
    <w:rsid w:val="41E12FA6"/>
    <w:rsid w:val="425A3055"/>
    <w:rsid w:val="42D02360"/>
    <w:rsid w:val="42ED0B8D"/>
    <w:rsid w:val="440B2C50"/>
    <w:rsid w:val="45B12AB5"/>
    <w:rsid w:val="48C560CE"/>
    <w:rsid w:val="4BC32318"/>
    <w:rsid w:val="4D966CB6"/>
    <w:rsid w:val="51603323"/>
    <w:rsid w:val="52082039"/>
    <w:rsid w:val="520B1012"/>
    <w:rsid w:val="55B466E2"/>
    <w:rsid w:val="55F43DFA"/>
    <w:rsid w:val="56DD1623"/>
    <w:rsid w:val="5B994AD0"/>
    <w:rsid w:val="5BB97A85"/>
    <w:rsid w:val="5C705EEE"/>
    <w:rsid w:val="5D580A9C"/>
    <w:rsid w:val="5F0C4CFF"/>
    <w:rsid w:val="602A22C2"/>
    <w:rsid w:val="631C28B8"/>
    <w:rsid w:val="64C4763E"/>
    <w:rsid w:val="65826A80"/>
    <w:rsid w:val="66FB5067"/>
    <w:rsid w:val="6A1C5DAF"/>
    <w:rsid w:val="6A4209DB"/>
    <w:rsid w:val="6ABA50EB"/>
    <w:rsid w:val="6BE27702"/>
    <w:rsid w:val="6DEB0CC4"/>
    <w:rsid w:val="6E620EC2"/>
    <w:rsid w:val="711701AD"/>
    <w:rsid w:val="71B93CCB"/>
    <w:rsid w:val="72964393"/>
    <w:rsid w:val="72C90F73"/>
    <w:rsid w:val="73223BF6"/>
    <w:rsid w:val="7593546D"/>
    <w:rsid w:val="75C3338A"/>
    <w:rsid w:val="76AB541C"/>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ind w:left="525" w:leftChars="250" w:right="685" w:rightChars="326" w:firstLine="560"/>
    </w:pPr>
    <w:rPr>
      <w:sz w:val="28"/>
    </w:rPr>
  </w:style>
  <w:style w:type="paragraph" w:styleId="5">
    <w:name w:val="Plain Text"/>
    <w:basedOn w:val="1"/>
    <w:semiHidden/>
    <w:unhideWhenUsed/>
    <w:qFormat/>
    <w:uiPriority w:val="99"/>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li_正文"/>
    <w:basedOn w:val="1"/>
    <w:qFormat/>
    <w:uiPriority w:val="0"/>
    <w:pPr>
      <w:ind w:firstLine="200" w:firstLineChars="200"/>
      <w:jc w:val="left"/>
    </w:pPr>
    <w:rPr>
      <w:rFonts w:ascii="Calibri" w:hAnsi="Calibri"/>
      <w:sz w:val="28"/>
      <w:szCs w:val="28"/>
    </w:rPr>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379</Words>
  <Characters>2163</Characters>
  <Lines>18</Lines>
  <Paragraphs>5</Paragraphs>
  <TotalTime>10</TotalTime>
  <ScaleCrop>false</ScaleCrop>
  <LinksUpToDate>false</LinksUpToDate>
  <CharactersWithSpaces>2537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忆安。</cp:lastModifiedBy>
  <dcterms:modified xsi:type="dcterms:W3CDTF">2020-12-26T01:56:23Z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