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ind w:left="0" w:leftChars="0" w:right="0" w:rightChars="0"/>
        <w:textAlignment w:val="auto"/>
        <w:rPr>
          <w:rFonts w:hint="default" w:ascii="Times New Roman" w:hAnsi="Times New Roman" w:cs="Times New Roman"/>
          <w:sz w:val="24"/>
        </w:rPr>
      </w:pPr>
    </w:p>
    <w:p>
      <w:pPr>
        <w:keepNext w:val="0"/>
        <w:keepLines w:val="0"/>
        <w:pageBreakBefore w:val="0"/>
        <w:kinsoku/>
        <w:wordWrap/>
        <w:overflowPunct/>
        <w:topLinePunct w:val="0"/>
        <w:autoSpaceDE/>
        <w:autoSpaceDN/>
        <w:bidi w:val="0"/>
        <w:ind w:left="0" w:leftChars="0" w:right="0" w:rightChars="0" w:firstLine="843" w:firstLineChars="30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b/>
          <w:bCs/>
          <w:sz w:val="28"/>
          <w:szCs w:val="28"/>
        </w:rPr>
        <w:t>莘县竣鸿兴建筑材料有限公司年产10万吨建筑细砂垫块型材项目</w:t>
      </w:r>
      <w:r>
        <w:rPr>
          <w:rFonts w:hint="default" w:ascii="Times New Roman" w:hAnsi="Times New Roman" w:cs="Times New Roman"/>
          <w:b/>
          <w:bCs/>
          <w:sz w:val="28"/>
          <w:szCs w:val="28"/>
          <w:lang w:eastAsia="zh-CN"/>
        </w:rPr>
        <w:t>（一期）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kinsoku/>
        <w:wordWrap/>
        <w:overflowPunct/>
        <w:topLinePunct w:val="0"/>
        <w:autoSpaceDE/>
        <w:autoSpaceDN/>
        <w:bidi w:val="0"/>
        <w:spacing w:line="360" w:lineRule="auto"/>
        <w:ind w:left="0" w:leftChars="0" w:right="0" w:rightChars="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rPr>
        <w:t xml:space="preserve">  </w:t>
      </w:r>
      <w:r>
        <w:rPr>
          <w:rFonts w:hint="default" w:ascii="Times New Roman" w:hAnsi="Times New Roman" w:eastAsia="楷体" w:cs="Times New Roman"/>
          <w:sz w:val="28"/>
          <w:szCs w:val="28"/>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4"/>
        </w:rPr>
        <w:t>202</w:t>
      </w:r>
      <w:r>
        <w:rPr>
          <w:rFonts w:hint="default" w:ascii="Times New Roman" w:hAnsi="Times New Roman" w:cs="Times New Roman" w:eastAsiaTheme="minorEastAsia"/>
          <w:sz w:val="24"/>
          <w:lang w:val="en-US" w:eastAsia="zh-CN"/>
        </w:rPr>
        <w:t>1</w:t>
      </w:r>
      <w:r>
        <w:rPr>
          <w:rFonts w:hint="default" w:ascii="Times New Roman" w:hAnsi="Times New Roman" w:cs="Times New Roman" w:eastAsiaTheme="minorEastAsia"/>
          <w:sz w:val="24"/>
        </w:rPr>
        <w:t>年</w:t>
      </w:r>
      <w:r>
        <w:rPr>
          <w:rFonts w:hint="default" w:ascii="Times New Roman" w:hAnsi="Times New Roman" w:cs="Times New Roman" w:eastAsiaTheme="minorEastAsia"/>
          <w:sz w:val="24"/>
          <w:lang w:val="en-US" w:eastAsia="zh-CN"/>
        </w:rPr>
        <w:t>0</w:t>
      </w:r>
      <w:r>
        <w:rPr>
          <w:rFonts w:hint="default" w:ascii="Times New Roman" w:hAnsi="Times New Roman" w:cs="Times New Roman" w:eastAsiaTheme="minorEastAsia"/>
          <w:sz w:val="24"/>
        </w:rPr>
        <w:t>1月</w:t>
      </w:r>
      <w:r>
        <w:rPr>
          <w:rFonts w:hint="default" w:ascii="Times New Roman" w:hAnsi="Times New Roman" w:cs="Times New Roman" w:eastAsiaTheme="minorEastAsia"/>
          <w:sz w:val="24"/>
          <w:lang w:val="en-US" w:eastAsia="zh-CN"/>
        </w:rPr>
        <w:t>30</w:t>
      </w:r>
      <w:r>
        <w:rPr>
          <w:rFonts w:hint="default" w:ascii="Times New Roman" w:hAnsi="Times New Roman" w:cs="Times New Roman" w:eastAsiaTheme="minorEastAsia"/>
          <w:sz w:val="24"/>
        </w:rPr>
        <w:t>日，</w:t>
      </w:r>
      <w:r>
        <w:rPr>
          <w:rFonts w:hint="default" w:ascii="Times New Roman" w:hAnsi="Times New Roman" w:cs="Times New Roman" w:eastAsiaTheme="minorEastAsia"/>
          <w:sz w:val="24"/>
          <w:lang w:eastAsia="zh-CN"/>
        </w:rPr>
        <w:t>莘县竣鸿兴建筑材料有限公司</w:t>
      </w:r>
      <w:r>
        <w:rPr>
          <w:rFonts w:hint="default" w:ascii="Times New Roman" w:hAnsi="Times New Roman" w:cs="Times New Roman" w:eastAsiaTheme="minorEastAsia"/>
          <w:sz w:val="24"/>
        </w:rPr>
        <w:t>组织召开公司</w:t>
      </w:r>
      <w:r>
        <w:rPr>
          <w:rFonts w:hint="default" w:ascii="Times New Roman" w:hAnsi="Times New Roman" w:cs="Times New Roman" w:eastAsiaTheme="minorEastAsia"/>
          <w:sz w:val="24"/>
        </w:rPr>
        <w:t>年产10万吨建筑细砂垫块型材项目（一期）</w:t>
      </w:r>
      <w:r>
        <w:rPr>
          <w:rFonts w:hint="default" w:ascii="Times New Roman" w:hAnsi="Times New Roman" w:cs="Times New Roman" w:eastAsiaTheme="minorEastAsia"/>
          <w:sz w:val="24"/>
        </w:rPr>
        <w:t>竣工环境保护验收现场检查及验收会。验收工作组由工程建设单位（</w:t>
      </w:r>
      <w:r>
        <w:rPr>
          <w:rFonts w:hint="default" w:ascii="Times New Roman" w:hAnsi="Times New Roman" w:cs="Times New Roman" w:eastAsiaTheme="minorEastAsia"/>
          <w:sz w:val="24"/>
          <w:lang w:eastAsia="zh-CN"/>
        </w:rPr>
        <w:t>莘县竣鸿兴建筑材料有限公司</w:t>
      </w:r>
      <w:r>
        <w:rPr>
          <w:rFonts w:hint="default" w:ascii="Times New Roman" w:hAnsi="Times New Roman" w:cs="Times New Roman" w:eastAsiaTheme="minorEastAsia"/>
          <w:sz w:val="24"/>
        </w:rPr>
        <w:t>）、监测单位（山东聊和环保科技有限公司）、并特邀2名技术专家（名单附后）组成。</w:t>
      </w:r>
    </w:p>
    <w:p>
      <w:pPr>
        <w:keepNext w:val="0"/>
        <w:keepLines w:val="0"/>
        <w:pageBreakBefore w:val="0"/>
        <w:tabs>
          <w:tab w:val="left" w:pos="360"/>
        </w:tabs>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w:t>
      </w:r>
      <w:bookmarkStart w:id="0" w:name="_GoBack"/>
      <w:bookmarkEnd w:id="0"/>
      <w:r>
        <w:rPr>
          <w:rFonts w:hint="default" w:ascii="Times New Roman" w:hAnsi="Times New Roman" w:cs="Times New Roman" w:eastAsiaTheme="minorEastAsia"/>
          <w:sz w:val="24"/>
        </w:rPr>
        <w:t>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莘县竣鸿兴建筑材料有限公司</w:t>
      </w:r>
      <w:r>
        <w:rPr>
          <w:rFonts w:hint="default" w:ascii="Times New Roman" w:hAnsi="Times New Roman" w:cs="Times New Roman" w:eastAsiaTheme="majorEastAsia"/>
          <w:sz w:val="24"/>
        </w:rPr>
        <w:t>法定代表人</w:t>
      </w:r>
      <w:r>
        <w:rPr>
          <w:rFonts w:hint="default" w:ascii="Times New Roman" w:hAnsi="Times New Roman" w:cs="Times New Roman" w:eastAsiaTheme="majorEastAsia"/>
          <w:sz w:val="24"/>
        </w:rPr>
        <w:t>李少磊，公司</w:t>
      </w:r>
      <w:r>
        <w:rPr>
          <w:rFonts w:hint="default" w:ascii="Times New Roman" w:hAnsi="Times New Roman" w:cs="Times New Roman" w:eastAsiaTheme="majorEastAsia"/>
          <w:sz w:val="24"/>
        </w:rPr>
        <w:t>位于</w:t>
      </w:r>
      <w:r>
        <w:rPr>
          <w:rFonts w:hint="default" w:ascii="Times New Roman" w:hAnsi="Times New Roman" w:cs="Times New Roman" w:eastAsiaTheme="majorEastAsia"/>
          <w:sz w:val="24"/>
        </w:rPr>
        <w:t>山东省聊城市莘县大王寨镇夏庄村北960米路南，</w:t>
      </w:r>
      <w:r>
        <w:rPr>
          <w:rFonts w:hint="default" w:ascii="Times New Roman" w:hAnsi="Times New Roman" w:cs="Times New Roman" w:eastAsiaTheme="majorEastAsia"/>
          <w:sz w:val="24"/>
          <w:lang w:eastAsia="zh-CN"/>
        </w:rPr>
        <w:t>项目预计总投资</w:t>
      </w:r>
      <w:r>
        <w:rPr>
          <w:rFonts w:hint="default" w:ascii="Times New Roman" w:hAnsi="Times New Roman" w:cs="Times New Roman" w:eastAsiaTheme="majorEastAsia"/>
          <w:sz w:val="24"/>
          <w:lang w:val="en-US" w:eastAsia="zh-CN"/>
        </w:rPr>
        <w:t>300万元，</w:t>
      </w:r>
      <w:r>
        <w:rPr>
          <w:rFonts w:hint="default" w:ascii="Times New Roman" w:hAnsi="Times New Roman" w:cs="Times New Roman" w:eastAsiaTheme="majorEastAsia"/>
          <w:sz w:val="24"/>
        </w:rPr>
        <w:t>占地面积7167.91m</w:t>
      </w:r>
      <w:r>
        <w:rPr>
          <w:rFonts w:hint="default" w:ascii="Times New Roman" w:hAnsi="Times New Roman" w:cs="Times New Roman" w:eastAsiaTheme="majorEastAsia"/>
          <w:sz w:val="24"/>
          <w:vertAlign w:val="superscript"/>
        </w:rPr>
        <w:t>2</w:t>
      </w:r>
      <w:r>
        <w:rPr>
          <w:rFonts w:hint="default" w:ascii="Times New Roman" w:hAnsi="Times New Roman" w:cs="Times New Roman" w:eastAsiaTheme="majorEastAsia"/>
          <w:sz w:val="24"/>
          <w:lang w:val="en-US" w:eastAsia="zh-CN"/>
        </w:rPr>
        <w:t>，</w:t>
      </w:r>
      <w:r>
        <w:rPr>
          <w:rFonts w:hint="default" w:ascii="Times New Roman" w:hAnsi="Times New Roman" w:cs="Times New Roman" w:eastAsiaTheme="majorEastAsia"/>
          <w:sz w:val="24"/>
        </w:rPr>
        <w:t>建设年产10万吨建筑细砂垫块型材项目，</w:t>
      </w:r>
      <w:r>
        <w:rPr>
          <w:rFonts w:hint="default" w:ascii="Times New Roman" w:hAnsi="Times New Roman" w:cs="Times New Roman" w:eastAsiaTheme="majorEastAsia"/>
          <w:sz w:val="24"/>
          <w:lang w:val="en-US" w:eastAsia="zh-CN"/>
        </w:rPr>
        <w:t>因企业资金问题，高精垫块机、筒仓等设备未购置，项目分期验收，本次验收为一期，</w:t>
      </w:r>
      <w:r>
        <w:rPr>
          <w:rFonts w:hint="default" w:ascii="Times New Roman" w:hAnsi="Times New Roman" w:cs="Times New Roman" w:eastAsiaTheme="majorEastAsia"/>
          <w:sz w:val="24"/>
        </w:rPr>
        <w:t>一期</w:t>
      </w:r>
      <w:r>
        <w:rPr>
          <w:rFonts w:hint="default" w:ascii="Times New Roman" w:hAnsi="Times New Roman" w:cs="Times New Roman" w:eastAsiaTheme="majorEastAsia"/>
          <w:sz w:val="24"/>
        </w:rPr>
        <w:t>投资</w:t>
      </w:r>
      <w:r>
        <w:rPr>
          <w:rFonts w:hint="default" w:ascii="Times New Roman" w:hAnsi="Times New Roman" w:cs="Times New Roman" w:eastAsiaTheme="majorEastAsia"/>
          <w:sz w:val="24"/>
          <w:lang w:val="en-US" w:eastAsia="zh-CN"/>
        </w:rPr>
        <w:t>220</w:t>
      </w:r>
      <w:r>
        <w:rPr>
          <w:rFonts w:hint="default" w:ascii="Times New Roman" w:hAnsi="Times New Roman" w:cs="Times New Roman" w:eastAsiaTheme="majorEastAsia"/>
          <w:sz w:val="24"/>
        </w:rPr>
        <w:t>万元</w:t>
      </w:r>
      <w:r>
        <w:rPr>
          <w:rFonts w:hint="default" w:ascii="Times New Roman" w:hAnsi="Times New Roman" w:cs="Times New Roman" w:eastAsiaTheme="majorEastAsia"/>
          <w:sz w:val="24"/>
        </w:rPr>
        <w:t>，</w:t>
      </w:r>
      <w:r>
        <w:rPr>
          <w:rFonts w:hint="default" w:ascii="Times New Roman" w:hAnsi="Times New Roman" w:cs="Times New Roman" w:eastAsiaTheme="majorEastAsia"/>
          <w:sz w:val="24"/>
          <w:lang w:eastAsia="zh-CN"/>
        </w:rPr>
        <w:t>生产规模</w:t>
      </w:r>
      <w:r>
        <w:rPr>
          <w:rFonts w:hint="default" w:ascii="Times New Roman" w:hAnsi="Times New Roman" w:cs="Times New Roman" w:eastAsiaTheme="majorEastAsia"/>
          <w:sz w:val="24"/>
          <w:lang w:val="en-US" w:eastAsia="zh-CN"/>
        </w:rPr>
        <w:t>为年产8万吨建筑细砂，</w:t>
      </w:r>
      <w:r>
        <w:rPr>
          <w:rFonts w:hint="default" w:ascii="Times New Roman" w:hAnsi="Times New Roman" w:cs="Times New Roman" w:eastAsiaTheme="majorEastAsia"/>
          <w:sz w:val="24"/>
        </w:rPr>
        <w:t>为公司的发展奠定良好的基础</w:t>
      </w:r>
      <w:r>
        <w:rPr>
          <w:rFonts w:hint="default" w:ascii="Times New Roman" w:hAnsi="Times New Roman" w:cs="Times New Roman" w:eastAsiaTheme="majorEastAsia"/>
          <w:sz w:val="24"/>
        </w:rPr>
        <w:t>。</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莘县竣鸿兴建筑材料有限公司公司于</w:t>
      </w:r>
      <w:r>
        <w:rPr>
          <w:rFonts w:hint="default" w:ascii="Times New Roman" w:hAnsi="Times New Roman" w:cs="Times New Roman"/>
          <w:sz w:val="24"/>
        </w:rPr>
        <w:t>2020年</w:t>
      </w:r>
      <w:r>
        <w:rPr>
          <w:rFonts w:hint="default" w:ascii="Times New Roman" w:hAnsi="Times New Roman" w:cs="Times New Roman"/>
          <w:sz w:val="24"/>
        </w:rPr>
        <w:t>0</w:t>
      </w:r>
      <w:r>
        <w:rPr>
          <w:rFonts w:hint="default" w:ascii="Times New Roman" w:hAnsi="Times New Roman" w:cs="Times New Roman"/>
          <w:sz w:val="24"/>
        </w:rPr>
        <w:t>6月委托</w:t>
      </w:r>
      <w:r>
        <w:rPr>
          <w:rFonts w:hint="default" w:ascii="Times New Roman" w:hAnsi="Times New Roman" w:cs="Times New Roman"/>
          <w:sz w:val="24"/>
        </w:rPr>
        <w:t>山东国嘉环保科技有限公司</w:t>
      </w:r>
      <w:r>
        <w:rPr>
          <w:rFonts w:hint="default" w:ascii="Times New Roman" w:hAnsi="Times New Roman" w:cs="Times New Roman"/>
          <w:sz w:val="24"/>
        </w:rPr>
        <w:t>编制了《</w:t>
      </w:r>
      <w:r>
        <w:rPr>
          <w:rFonts w:hint="default" w:ascii="Times New Roman" w:hAnsi="Times New Roman" w:cs="Times New Roman"/>
          <w:sz w:val="24"/>
        </w:rPr>
        <w:t>莘县竣鸿兴建筑材料有限公司年产10万吨建筑细砂垫块型材项目</w:t>
      </w:r>
      <w:r>
        <w:rPr>
          <w:rFonts w:hint="default" w:ascii="Times New Roman" w:hAnsi="Times New Roman" w:cs="Times New Roman"/>
          <w:sz w:val="24"/>
        </w:rPr>
        <w:t>环境影响报告表》，</w:t>
      </w:r>
      <w:r>
        <w:rPr>
          <w:rFonts w:hint="default" w:ascii="Times New Roman" w:hAnsi="Times New Roman" w:cs="Times New Roman"/>
          <w:sz w:val="24"/>
        </w:rPr>
        <w:t>2</w:t>
      </w:r>
      <w:r>
        <w:rPr>
          <w:rFonts w:hint="default" w:ascii="Times New Roman" w:hAnsi="Times New Roman" w:cs="Times New Roman"/>
          <w:sz w:val="24"/>
        </w:rPr>
        <w:t>020年</w:t>
      </w:r>
      <w:r>
        <w:rPr>
          <w:rFonts w:hint="default" w:ascii="Times New Roman" w:hAnsi="Times New Roman" w:cs="Times New Roman"/>
          <w:sz w:val="24"/>
          <w:lang w:val="en-US" w:eastAsia="zh-CN"/>
        </w:rPr>
        <w:t>8</w:t>
      </w:r>
      <w:r>
        <w:rPr>
          <w:rFonts w:hint="default" w:ascii="Times New Roman" w:hAnsi="Times New Roman" w:cs="Times New Roman"/>
          <w:sz w:val="24"/>
        </w:rPr>
        <w:t>月</w:t>
      </w:r>
      <w:r>
        <w:rPr>
          <w:rFonts w:hint="default" w:ascii="Times New Roman" w:hAnsi="Times New Roman" w:cs="Times New Roman"/>
          <w:sz w:val="24"/>
          <w:lang w:val="en-US" w:eastAsia="zh-CN"/>
        </w:rPr>
        <w:t>24</w:t>
      </w:r>
      <w:r>
        <w:rPr>
          <w:rFonts w:hint="default" w:ascii="Times New Roman" w:hAnsi="Times New Roman" w:cs="Times New Roman"/>
          <w:sz w:val="24"/>
        </w:rPr>
        <w:t>日</w:t>
      </w:r>
      <w:r>
        <w:rPr>
          <w:rFonts w:hint="default" w:ascii="Times New Roman" w:hAnsi="Times New Roman" w:cs="Times New Roman"/>
          <w:sz w:val="24"/>
          <w:lang w:val="en-US" w:eastAsia="zh-CN"/>
        </w:rPr>
        <w:t>莘</w:t>
      </w:r>
      <w:r>
        <w:rPr>
          <w:rFonts w:hint="default" w:ascii="Times New Roman" w:hAnsi="Times New Roman" w:cs="Times New Roman"/>
          <w:sz w:val="24"/>
        </w:rPr>
        <w:t>县行政审批服务局以</w:t>
      </w:r>
      <w:r>
        <w:rPr>
          <w:rFonts w:hint="default" w:ascii="Times New Roman" w:hAnsi="Times New Roman" w:cs="Times New Roman"/>
          <w:sz w:val="24"/>
          <w:lang w:val="en-US" w:eastAsia="zh-CN"/>
        </w:rPr>
        <w:t>莘</w:t>
      </w:r>
      <w:r>
        <w:rPr>
          <w:rFonts w:hint="default" w:ascii="Times New Roman" w:hAnsi="Times New Roman" w:cs="Times New Roman"/>
          <w:sz w:val="24"/>
        </w:rPr>
        <w:t>行审报告表[2020]</w:t>
      </w:r>
      <w:r>
        <w:rPr>
          <w:rFonts w:hint="default" w:ascii="Times New Roman" w:hAnsi="Times New Roman" w:cs="Times New Roman"/>
          <w:sz w:val="24"/>
          <w:lang w:val="en-US" w:eastAsia="zh-CN"/>
        </w:rPr>
        <w:t>6</w:t>
      </w:r>
      <w:r>
        <w:rPr>
          <w:rFonts w:hint="default" w:ascii="Times New Roman" w:hAnsi="Times New Roman" w:cs="Times New Roman"/>
          <w:sz w:val="24"/>
        </w:rPr>
        <w:t>3号</w:t>
      </w:r>
      <w:r>
        <w:rPr>
          <w:rFonts w:hint="default" w:ascii="Times New Roman" w:hAnsi="Times New Roman" w:cs="Times New Roman"/>
          <w:sz w:val="24"/>
        </w:rPr>
        <w:t>对其进行了审批。2020年</w:t>
      </w:r>
      <w:r>
        <w:rPr>
          <w:rFonts w:hint="default" w:ascii="Times New Roman" w:hAnsi="Times New Roman" w:cs="Times New Roman"/>
          <w:sz w:val="24"/>
        </w:rPr>
        <w:t>11</w:t>
      </w:r>
      <w:r>
        <w:rPr>
          <w:rFonts w:hint="default" w:ascii="Times New Roman" w:hAnsi="Times New Roman" w:cs="Times New Roman"/>
          <w:sz w:val="24"/>
        </w:rPr>
        <w:t>月</w:t>
      </w:r>
      <w:r>
        <w:rPr>
          <w:rFonts w:hint="default" w:ascii="Times New Roman" w:hAnsi="Times New Roman" w:cs="Times New Roman"/>
          <w:sz w:val="24"/>
        </w:rPr>
        <w:t>莘县竣鸿兴建筑材料有限公司</w:t>
      </w:r>
      <w:r>
        <w:rPr>
          <w:rFonts w:hint="default" w:ascii="Times New Roman" w:hAnsi="Times New Roman" w:cs="Times New Roman"/>
          <w:sz w:val="24"/>
        </w:rPr>
        <w:t>委托山东聊和环保科技有限公司进行该项目的环保验收监测工作，接受委托后山东聊和环保科技有限公司组织有关技术人员进行现场踏勘，依据监测技术规范制定了环保验收监测方案，并于2020</w:t>
      </w:r>
      <w:r>
        <w:rPr>
          <w:rFonts w:hint="default" w:ascii="Times New Roman" w:hAnsi="Times New Roman" w:cs="Times New Roman"/>
          <w:sz w:val="24"/>
        </w:rPr>
        <w:t>年1</w:t>
      </w:r>
      <w:r>
        <w:rPr>
          <w:rFonts w:hint="default" w:ascii="Times New Roman" w:hAnsi="Times New Roman" w:cs="Times New Roman"/>
          <w:sz w:val="24"/>
          <w:lang w:val="en-US" w:eastAsia="zh-CN"/>
        </w:rPr>
        <w:t>2</w:t>
      </w:r>
      <w:r>
        <w:rPr>
          <w:rFonts w:hint="default" w:ascii="Times New Roman" w:hAnsi="Times New Roman" w:cs="Times New Roman"/>
          <w:sz w:val="24"/>
        </w:rPr>
        <w:t>月</w:t>
      </w:r>
      <w:r>
        <w:rPr>
          <w:rFonts w:hint="default" w:ascii="Times New Roman" w:hAnsi="Times New Roman" w:cs="Times New Roman"/>
          <w:sz w:val="24"/>
          <w:lang w:val="en-US" w:eastAsia="zh-CN"/>
        </w:rPr>
        <w:t>30</w:t>
      </w:r>
      <w:r>
        <w:rPr>
          <w:rFonts w:hint="default" w:ascii="Times New Roman" w:hAnsi="Times New Roman" w:cs="Times New Roman"/>
          <w:sz w:val="24"/>
        </w:rPr>
        <w:t>日-</w:t>
      </w:r>
      <w:r>
        <w:rPr>
          <w:rFonts w:hint="default" w:ascii="Times New Roman" w:hAnsi="Times New Roman" w:cs="Times New Roman"/>
          <w:sz w:val="24"/>
        </w:rPr>
        <w:t>1</w:t>
      </w:r>
      <w:r>
        <w:rPr>
          <w:rFonts w:hint="default" w:ascii="Times New Roman" w:hAnsi="Times New Roman" w:cs="Times New Roman"/>
          <w:sz w:val="24"/>
          <w:lang w:val="en-US" w:eastAsia="zh-CN"/>
        </w:rPr>
        <w:t>2</w:t>
      </w:r>
      <w:r>
        <w:rPr>
          <w:rFonts w:hint="default" w:ascii="Times New Roman" w:hAnsi="Times New Roman" w:cs="Times New Roman"/>
          <w:sz w:val="24"/>
        </w:rPr>
        <w:t>月</w:t>
      </w:r>
      <w:r>
        <w:rPr>
          <w:rFonts w:hint="default" w:ascii="Times New Roman" w:hAnsi="Times New Roman" w:cs="Times New Roman"/>
          <w:sz w:val="24"/>
          <w:lang w:val="en-US" w:eastAsia="zh-CN"/>
        </w:rPr>
        <w:t>31</w:t>
      </w:r>
      <w:r>
        <w:rPr>
          <w:rFonts w:hint="default" w:ascii="Times New Roman" w:hAnsi="Times New Roman" w:cs="Times New Roman"/>
          <w:sz w:val="24"/>
        </w:rPr>
        <w:t>日</w:t>
      </w:r>
      <w:r>
        <w:rPr>
          <w:rFonts w:hint="default" w:ascii="Times New Roman" w:hAnsi="Times New Roman" w:cs="Times New Roman"/>
          <w:sz w:val="24"/>
        </w:rPr>
        <w:t>对厂区有关污染源进行了监测，根据验收监测结果和现场检查情况编制了本项目验收监测报告。</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项目一期实际总投资</w:t>
      </w:r>
      <w:r>
        <w:rPr>
          <w:rFonts w:hint="default" w:ascii="Times New Roman" w:hAnsi="Times New Roman" w:cs="Times New Roman" w:eastAsiaTheme="minorEastAsia"/>
          <w:sz w:val="24"/>
          <w:lang w:val="en-US" w:eastAsia="zh-CN"/>
        </w:rPr>
        <w:t>220</w:t>
      </w:r>
      <w:r>
        <w:rPr>
          <w:rFonts w:hint="default" w:ascii="Times New Roman" w:hAnsi="Times New Roman" w:cs="Times New Roman" w:eastAsiaTheme="minorEastAsia"/>
          <w:sz w:val="24"/>
        </w:rPr>
        <w:t>万元，其中环保投资</w:t>
      </w:r>
      <w:r>
        <w:rPr>
          <w:rFonts w:hint="default" w:ascii="Times New Roman" w:hAnsi="Times New Roman" w:cs="Times New Roman" w:eastAsiaTheme="minorEastAsia"/>
          <w:sz w:val="24"/>
          <w:lang w:val="en-US" w:eastAsia="zh-CN"/>
        </w:rPr>
        <w:t>20</w:t>
      </w:r>
      <w:r>
        <w:rPr>
          <w:rFonts w:hint="default" w:ascii="Times New Roman" w:hAnsi="Times New Roman" w:cs="Times New Roman" w:eastAsiaTheme="minorEastAsia"/>
          <w:sz w:val="24"/>
        </w:rPr>
        <w:t>万元，占总投资</w:t>
      </w:r>
      <w:r>
        <w:rPr>
          <w:rFonts w:hint="default" w:ascii="Times New Roman" w:hAnsi="Times New Roman" w:cs="Times New Roman" w:eastAsiaTheme="minorEastAsia"/>
          <w:sz w:val="24"/>
          <w:lang w:val="en-US" w:eastAsia="zh-CN"/>
        </w:rPr>
        <w:t>9.1</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default" w:ascii="Times New Roman" w:hAnsi="Times New Roman" w:cs="Times New Roman"/>
          <w:sz w:val="24"/>
        </w:rPr>
        <w:t>年产10万吨建筑细砂垫块型材项目（一期）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left="0" w:leftChars="0" w:right="0" w:rightChars="0"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通过现场调查，对照环评报告及审批意见，项目水洗轮设备实际数量比环评数量增加1台，水洗设备为非主要设备不影响产能，一期项目未上高精垫块机，生产产品为半成品的建筑细砂。项目无生产性质、服务规模、生产地点、生产工艺及环保设施的变动，根据</w:t>
      </w:r>
      <w:r>
        <w:rPr>
          <w:rFonts w:hint="default" w:ascii="Times New Roman" w:hAnsi="Times New Roman" w:eastAsia="宋体" w:cs="Times New Roman"/>
          <w:sz w:val="24"/>
          <w:lang w:val="en-US" w:eastAsia="zh-CN"/>
        </w:rPr>
        <w:t>《关于印发</w:t>
      </w:r>
      <w:r>
        <w:rPr>
          <w:rFonts w:hint="default" w:ascii="Times New Roman" w:hAnsi="Times New Roman" w:eastAsia="宋体" w:cs="Times New Roman"/>
          <w:sz w:val="24"/>
          <w:lang w:val="en-US" w:eastAsia="zh-CN"/>
        </w:rPr>
        <w:t>污染影响类建设项目重大变动清单（试行）的通知</w:t>
      </w:r>
      <w:r>
        <w:rPr>
          <w:rFonts w:hint="default" w:ascii="Times New Roman" w:hAnsi="Times New Roman" w:eastAsia="宋体" w:cs="Times New Roman"/>
          <w:sz w:val="24"/>
          <w:lang w:val="en-US" w:eastAsia="zh-CN"/>
        </w:rPr>
        <w:t>》环</w:t>
      </w:r>
      <w:r>
        <w:rPr>
          <w:rFonts w:hint="default" w:ascii="Times New Roman" w:hAnsi="Times New Roman" w:eastAsia="宋体" w:cs="Times New Roman"/>
          <w:sz w:val="24"/>
          <w:lang w:val="en-US" w:eastAsia="zh-CN"/>
        </w:rPr>
        <w:t>评函</w:t>
      </w:r>
      <w:r>
        <w:rPr>
          <w:rFonts w:hint="default" w:ascii="Times New Roman" w:hAnsi="Times New Roman" w:eastAsia="宋体" w:cs="Times New Roman"/>
          <w:sz w:val="24"/>
          <w:lang w:val="en-US" w:eastAsia="zh-CN"/>
        </w:rPr>
        <w:t>[20</w:t>
      </w:r>
      <w:r>
        <w:rPr>
          <w:rFonts w:hint="default" w:ascii="Times New Roman" w:hAnsi="Times New Roman" w:eastAsia="宋体" w:cs="Times New Roman"/>
          <w:sz w:val="24"/>
          <w:lang w:val="en-US" w:eastAsia="zh-CN"/>
        </w:rPr>
        <w:t>20</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lang w:val="en-US" w:eastAsia="zh-CN"/>
        </w:rPr>
        <w:t>688</w:t>
      </w:r>
      <w:r>
        <w:rPr>
          <w:rFonts w:hint="default" w:ascii="Times New Roman" w:hAnsi="Times New Roman" w:eastAsia="宋体" w:cs="Times New Roman"/>
          <w:sz w:val="24"/>
          <w:lang w:val="en-US" w:eastAsia="zh-CN"/>
        </w:rPr>
        <w:t>号</w:t>
      </w:r>
      <w:r>
        <w:rPr>
          <w:rFonts w:hint="default" w:ascii="Times New Roman" w:hAnsi="Times New Roman" w:eastAsia="宋体" w:cs="Times New Roman"/>
          <w:sz w:val="24"/>
          <w:lang w:val="en-US" w:eastAsia="zh-CN"/>
        </w:rPr>
        <w:t>，项目不存在重大变更。</w:t>
      </w:r>
    </w:p>
    <w:p>
      <w:pPr>
        <w:pStyle w:val="17"/>
        <w:keepNext w:val="0"/>
        <w:keepLines w:val="0"/>
        <w:pageBreakBefore w:val="0"/>
        <w:kinsoku/>
        <w:wordWrap/>
        <w:overflowPunct/>
        <w:topLinePunct w:val="0"/>
        <w:autoSpaceDE/>
        <w:autoSpaceDN/>
        <w:bidi w:val="0"/>
        <w:spacing w:line="360" w:lineRule="auto"/>
        <w:ind w:left="0" w:leftChars="0" w:right="0" w:rightChars="0"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17"/>
        <w:keepNext w:val="0"/>
        <w:keepLines w:val="0"/>
        <w:pageBreakBefore w:val="0"/>
        <w:kinsoku/>
        <w:wordWrap/>
        <w:overflowPunct/>
        <w:topLinePunct w:val="0"/>
        <w:autoSpaceDE/>
        <w:autoSpaceDN/>
        <w:bidi w:val="0"/>
        <w:spacing w:line="360" w:lineRule="auto"/>
        <w:ind w:left="0" w:leftChars="0" w:right="0" w:rightChars="0"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本项目废水主要为生活废水、</w:t>
      </w:r>
      <w:r>
        <w:rPr>
          <w:rFonts w:hint="default" w:ascii="Times New Roman" w:hAnsi="Times New Roman" w:eastAsia="宋体" w:cs="Times New Roman"/>
          <w:color w:val="000000"/>
          <w:sz w:val="24"/>
          <w:lang w:val="en-US" w:eastAsia="zh-CN"/>
        </w:rPr>
        <w:t>水洗废水、</w:t>
      </w:r>
      <w:r>
        <w:rPr>
          <w:rFonts w:hint="default" w:ascii="Times New Roman" w:hAnsi="Times New Roman" w:eastAsia="宋体" w:cs="Times New Roman"/>
          <w:color w:val="000000"/>
          <w:sz w:val="24"/>
        </w:rPr>
        <w:t>设备清洗废水，生活废水经化粪池预处理后由环卫部门定期清运，设备清洗用水</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水洗砂用水</w:t>
      </w:r>
      <w:r>
        <w:rPr>
          <w:rFonts w:hint="default" w:ascii="Times New Roman" w:hAnsi="Times New Roman" w:eastAsia="宋体" w:cs="Times New Roman"/>
          <w:color w:val="000000"/>
          <w:sz w:val="24"/>
        </w:rPr>
        <w:t>回用于生产，无废水外排。</w:t>
      </w:r>
    </w:p>
    <w:p>
      <w:pPr>
        <w:keepNext w:val="0"/>
        <w:keepLines w:val="0"/>
        <w:pageBreakBefore w:val="0"/>
        <w:kinsoku/>
        <w:wordWrap/>
        <w:overflowPunct/>
        <w:topLinePunct w:val="0"/>
        <w:autoSpaceDE/>
        <w:autoSpaceDN/>
        <w:bidi w:val="0"/>
        <w:adjustRightInd w:val="0"/>
        <w:spacing w:line="360" w:lineRule="auto"/>
        <w:ind w:left="0" w:leftChars="0"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keepNext w:val="0"/>
        <w:keepLines w:val="0"/>
        <w:pageBreakBefore w:val="0"/>
        <w:widowControl/>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筒仓卸料粉尘经过布袋除尘器处理后车间内无组织排放；生产过程中的上料、鄂破研磨、细碎、振动筛分、添加辅料、搅拌产生的粉尘通过上方集气罩收集粉尘后经布袋除尘器处理后再经雾化喷淋装置处理后在车间内排放；原料堆场及卸料过程产生粉尘，通过在厂区内定期洒水降低颗粒物排放量。</w:t>
      </w:r>
    </w:p>
    <w:p>
      <w:pPr>
        <w:keepNext w:val="0"/>
        <w:keepLines w:val="0"/>
        <w:pageBreakBefore w:val="0"/>
        <w:widowControl/>
        <w:kinsoku/>
        <w:wordWrap/>
        <w:overflowPunct/>
        <w:topLinePunct w:val="0"/>
        <w:autoSpaceDE/>
        <w:autoSpaceDN/>
        <w:bidi w:val="0"/>
        <w:spacing w:line="384"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keepNext w:val="0"/>
        <w:keepLines w:val="0"/>
        <w:pageBreakBefore w:val="0"/>
        <w:kinsoku/>
        <w:wordWrap/>
        <w:overflowPunct/>
        <w:topLinePunct w:val="0"/>
        <w:autoSpaceDE/>
        <w:autoSpaceDN/>
        <w:bidi w:val="0"/>
        <w:spacing w:line="384" w:lineRule="auto"/>
        <w:ind w:left="0" w:leftChars="0" w:right="0" w:rightChars="0" w:firstLine="240" w:firstLineChars="100"/>
        <w:jc w:val="left"/>
        <w:textAlignment w:val="auto"/>
        <w:rPr>
          <w:rFonts w:hint="default" w:ascii="Times New Roman" w:hAnsi="Times New Roman" w:cs="Times New Roman" w:eastAsiaTheme="majorEastAsia"/>
          <w:sz w:val="24"/>
          <w:lang w:eastAsia="zh-CN"/>
        </w:rPr>
      </w:pPr>
      <w:r>
        <w:rPr>
          <w:rFonts w:hint="default" w:ascii="Times New Roman" w:hAnsi="Times New Roman" w:cs="Times New Roman" w:eastAsiaTheme="majorEastAsia"/>
          <w:sz w:val="24"/>
        </w:rPr>
        <w:t>项目噪声源主要为</w:t>
      </w:r>
      <w:r>
        <w:rPr>
          <w:rFonts w:hint="default" w:ascii="Times New Roman" w:hAnsi="Times New Roman" w:cs="Times New Roman" w:eastAsiaTheme="majorEastAsia"/>
          <w:sz w:val="24"/>
        </w:rPr>
        <w:t>喂料机、鄂破机、高效细碎机</w:t>
      </w:r>
      <w:r>
        <w:rPr>
          <w:rFonts w:hint="default" w:ascii="Times New Roman" w:hAnsi="Times New Roman" w:cs="Times New Roman" w:eastAsiaTheme="majorEastAsia"/>
          <w:sz w:val="24"/>
        </w:rPr>
        <w:t>等运行时产生的噪声</w:t>
      </w:r>
      <w:r>
        <w:rPr>
          <w:rFonts w:hint="default" w:ascii="Times New Roman" w:hAnsi="Times New Roman" w:cs="Times New Roman" w:eastAsiaTheme="majorEastAsia"/>
          <w:sz w:val="24"/>
        </w:rPr>
        <w:t>，采取设置减振装置、封闭车间、加装隔音罩等方式降低厂区噪声</w:t>
      </w:r>
      <w:r>
        <w:rPr>
          <w:rFonts w:hint="default" w:ascii="Times New Roman" w:hAnsi="Times New Roman" w:cs="Times New Roman" w:eastAsiaTheme="majorEastAsia"/>
          <w:sz w:val="24"/>
          <w:lang w:eastAsia="zh-CN"/>
        </w:rPr>
        <w:t>。</w:t>
      </w:r>
    </w:p>
    <w:p>
      <w:pPr>
        <w:keepNext w:val="0"/>
        <w:keepLines w:val="0"/>
        <w:pageBreakBefore w:val="0"/>
        <w:kinsoku/>
        <w:wordWrap/>
        <w:overflowPunct/>
        <w:topLinePunct w:val="0"/>
        <w:autoSpaceDE/>
        <w:autoSpaceDN/>
        <w:bidi w:val="0"/>
        <w:spacing w:line="384" w:lineRule="auto"/>
        <w:ind w:left="0" w:leftChars="0" w:right="0" w:rightChars="0"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keepNext w:val="0"/>
        <w:keepLines w:val="0"/>
        <w:pageBreakBefore w:val="0"/>
        <w:kinsoku/>
        <w:wordWrap/>
        <w:overflowPunct/>
        <w:topLinePunct w:val="0"/>
        <w:autoSpaceDE/>
        <w:autoSpaceDN/>
        <w:bidi w:val="0"/>
        <w:snapToGrid w:val="0"/>
        <w:spacing w:line="360" w:lineRule="auto"/>
        <w:ind w:left="0" w:leftChars="0" w:right="0" w:rightChars="0" w:firstLine="48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ajorEastAsia"/>
          <w:sz w:val="24"/>
        </w:rPr>
        <w:t>项目产生的固体废物主要为</w:t>
      </w:r>
      <w:r>
        <w:rPr>
          <w:rFonts w:hint="default" w:ascii="Times New Roman" w:hAnsi="Times New Roman" w:cs="Times New Roman" w:eastAsiaTheme="majorEastAsia"/>
          <w:sz w:val="24"/>
        </w:rPr>
        <w:t>生产过程中产生的除尘器收尘、</w:t>
      </w:r>
      <w:r>
        <w:rPr>
          <w:rFonts w:hint="default" w:ascii="Times New Roman" w:hAnsi="Times New Roman" w:cs="Times New Roman" w:eastAsiaTheme="majorEastAsia"/>
          <w:sz w:val="24"/>
          <w:lang w:eastAsia="zh-CN"/>
        </w:rPr>
        <w:t>压滤机</w:t>
      </w:r>
      <w:r>
        <w:rPr>
          <w:rFonts w:hint="default" w:ascii="Times New Roman" w:hAnsi="Times New Roman" w:cs="Times New Roman" w:eastAsiaTheme="majorEastAsia"/>
          <w:sz w:val="24"/>
        </w:rPr>
        <w:t>废渣，员工生活产生的生活垃圾。除尘器收尘和</w:t>
      </w:r>
      <w:r>
        <w:rPr>
          <w:rFonts w:hint="default" w:ascii="Times New Roman" w:hAnsi="Times New Roman" w:cs="Times New Roman" w:eastAsiaTheme="majorEastAsia"/>
          <w:sz w:val="24"/>
          <w:lang w:val="en-US" w:eastAsia="zh-CN"/>
        </w:rPr>
        <w:t>压滤机</w:t>
      </w:r>
      <w:r>
        <w:rPr>
          <w:rFonts w:hint="default" w:ascii="Times New Roman" w:hAnsi="Times New Roman" w:cs="Times New Roman" w:eastAsiaTheme="majorEastAsia"/>
          <w:sz w:val="24"/>
        </w:rPr>
        <w:t>沉渣回用于生产中，生活垃圾交由环卫部门定期清运。</w:t>
      </w:r>
    </w:p>
    <w:p>
      <w:pPr>
        <w:keepNext w:val="0"/>
        <w:keepLines w:val="0"/>
        <w:pageBreakBefore w:val="0"/>
        <w:kinsoku/>
        <w:wordWrap/>
        <w:overflowPunct/>
        <w:topLinePunct w:val="0"/>
        <w:autoSpaceDE/>
        <w:autoSpaceDN/>
        <w:bidi w:val="0"/>
        <w:snapToGrid w:val="0"/>
        <w:spacing w:line="360" w:lineRule="auto"/>
        <w:ind w:left="0" w:leftChars="0" w:right="0" w:rightChars="0" w:firstLine="560" w:firstLineChars="200"/>
        <w:textAlignment w:val="auto"/>
        <w:rPr>
          <w:rFonts w:hint="default" w:ascii="Times New Roman" w:hAnsi="Times New Roman" w:cs="Times New Roman" w:eastAsiaTheme="minorEastAsia"/>
          <w:sz w:val="28"/>
          <w:szCs w:val="28"/>
        </w:rPr>
      </w:pPr>
    </w:p>
    <w:p>
      <w:pPr>
        <w:keepNext w:val="0"/>
        <w:keepLines w:val="0"/>
        <w:pageBreakBefore w:val="0"/>
        <w:kinsoku/>
        <w:wordWrap/>
        <w:overflowPunct/>
        <w:topLinePunct w:val="0"/>
        <w:autoSpaceDE/>
        <w:autoSpaceDN/>
        <w:bidi w:val="0"/>
        <w:snapToGrid w:val="0"/>
        <w:spacing w:line="360" w:lineRule="auto"/>
        <w:ind w:left="0" w:leftChars="0" w:right="0" w:rightChars="0" w:firstLine="560" w:firstLineChars="200"/>
        <w:textAlignment w:val="auto"/>
        <w:rPr>
          <w:rFonts w:hint="default" w:ascii="Times New Roman" w:hAnsi="Times New Roman" w:cs="Times New Roman" w:eastAsiaTheme="minorEastAsia"/>
          <w:sz w:val="28"/>
          <w:szCs w:val="28"/>
        </w:rPr>
      </w:pPr>
    </w:p>
    <w:p>
      <w:pPr>
        <w:keepNext w:val="0"/>
        <w:keepLines w:val="0"/>
        <w:pageBreakBefore w:val="0"/>
        <w:kinsoku/>
        <w:wordWrap/>
        <w:overflowPunct/>
        <w:topLinePunct w:val="0"/>
        <w:autoSpaceDE/>
        <w:autoSpaceDN/>
        <w:bidi w:val="0"/>
        <w:snapToGrid w:val="0"/>
        <w:spacing w:line="360" w:lineRule="auto"/>
        <w:ind w:left="0" w:leftChars="0" w:right="0" w:rightChars="0"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left="0" w:leftChars="0" w:right="0" w:rightChars="0"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kinsoku/>
        <w:wordWrap/>
        <w:overflowPunct/>
        <w:topLinePunct w:val="0"/>
        <w:autoSpaceDE/>
        <w:autoSpaceDN/>
        <w:bidi w:val="0"/>
        <w:spacing w:line="360" w:lineRule="auto"/>
        <w:ind w:left="0" w:leftChars="0" w:right="0" w:rightChars="0"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default" w:ascii="Times New Roman" w:hAnsi="Times New Roman" w:cs="Times New Roman" w:eastAsiaTheme="majorEastAsia"/>
          <w:sz w:val="24"/>
          <w:lang w:eastAsia="zh-CN"/>
        </w:rPr>
        <w:t>莘县竣鸿兴建筑材料有限公司年产10万吨建筑细砂垫块型材项目（一期）</w:t>
      </w:r>
      <w:r>
        <w:rPr>
          <w:rFonts w:hint="default" w:ascii="Times New Roman" w:hAnsi="Times New Roman" w:cs="Times New Roman" w:eastAsiaTheme="majorEastAsia"/>
          <w:sz w:val="24"/>
        </w:rPr>
        <w:t>竣工环境保护验收监测报告》监测结果表明：</w:t>
      </w:r>
    </w:p>
    <w:p>
      <w:pPr>
        <w:keepNext w:val="0"/>
        <w:keepLines w:val="0"/>
        <w:pageBreakBefore w:val="0"/>
        <w:kinsoku/>
        <w:wordWrap/>
        <w:overflowPunct/>
        <w:topLinePunct w:val="0"/>
        <w:autoSpaceDE/>
        <w:autoSpaceDN/>
        <w:bidi w:val="0"/>
        <w:spacing w:line="360" w:lineRule="auto"/>
        <w:ind w:left="0" w:leftChars="0" w:right="0" w:rightChars="0"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w:t>
      </w:r>
      <w:r>
        <w:rPr>
          <w:rFonts w:hint="default" w:ascii="Times New Roman" w:hAnsi="Times New Roman" w:cs="Times New Roman" w:eastAsiaTheme="majorEastAsia"/>
          <w:sz w:val="24"/>
        </w:rPr>
        <w:t>废气</w:t>
      </w:r>
    </w:p>
    <w:p>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本项目废气监测因子</w:t>
      </w:r>
      <w:r>
        <w:rPr>
          <w:rFonts w:hint="default" w:ascii="Times New Roman" w:hAnsi="Times New Roman" w:cs="Times New Roman" w:eastAsiaTheme="majorEastAsia"/>
          <w:sz w:val="24"/>
          <w:lang w:eastAsia="zh-CN"/>
        </w:rPr>
        <w:t>为</w:t>
      </w:r>
      <w:r>
        <w:rPr>
          <w:rFonts w:hint="default" w:ascii="Times New Roman" w:hAnsi="Times New Roman" w:cs="Times New Roman" w:eastAsiaTheme="majorEastAsia"/>
          <w:sz w:val="24"/>
        </w:rPr>
        <w:t>无组织颗粒物</w:t>
      </w:r>
      <w:r>
        <w:rPr>
          <w:rFonts w:hint="default" w:ascii="Times New Roman" w:hAnsi="Times New Roman" w:cs="Times New Roman" w:eastAsiaTheme="majorEastAsia"/>
          <w:spacing w:val="-10"/>
          <w:sz w:val="24"/>
        </w:rPr>
        <w:t>，验收监测期间，无组织颗粒物小时浓度最高为</w:t>
      </w:r>
      <w:r>
        <w:rPr>
          <w:rFonts w:hint="default" w:ascii="Times New Roman" w:hAnsi="Times New Roman" w:cs="Times New Roman" w:eastAsiaTheme="majorEastAsia"/>
          <w:spacing w:val="-10"/>
          <w:sz w:val="24"/>
        </w:rPr>
        <w:t>0.</w:t>
      </w:r>
      <w:r>
        <w:rPr>
          <w:rFonts w:hint="default" w:ascii="Times New Roman" w:hAnsi="Times New Roman" w:cs="Times New Roman" w:eastAsiaTheme="majorEastAsia"/>
          <w:spacing w:val="-10"/>
          <w:sz w:val="24"/>
          <w:lang w:val="en-US" w:eastAsia="zh-CN"/>
        </w:rPr>
        <w:t>372</w:t>
      </w:r>
      <w:r>
        <w:rPr>
          <w:rFonts w:hint="default" w:ascii="Times New Roman" w:hAnsi="Times New Roman" w:cs="Times New Roman" w:eastAsiaTheme="majorEastAsia"/>
          <w:spacing w:val="-10"/>
          <w:sz w:val="24"/>
        </w:rPr>
        <w:t>m</w:t>
      </w:r>
      <w:r>
        <w:rPr>
          <w:rFonts w:hint="default" w:ascii="Times New Roman" w:hAnsi="Times New Roman" w:cs="Times New Roman" w:eastAsiaTheme="majorEastAsia"/>
          <w:spacing w:val="-10"/>
          <w:sz w:val="24"/>
        </w:rPr>
        <w:t>g/m</w:t>
      </w:r>
      <w:r>
        <w:rPr>
          <w:rFonts w:hint="default" w:ascii="Times New Roman" w:hAnsi="Times New Roman" w:cs="Times New Roman" w:eastAsiaTheme="majorEastAsia"/>
          <w:spacing w:val="-10"/>
          <w:sz w:val="24"/>
          <w:vertAlign w:val="superscript"/>
        </w:rPr>
        <w:t>3</w:t>
      </w:r>
      <w:r>
        <w:rPr>
          <w:rFonts w:hint="default" w:ascii="Times New Roman" w:hAnsi="Times New Roman" w:cs="Times New Roman" w:eastAsiaTheme="majorEastAsia"/>
          <w:spacing w:val="-10"/>
          <w:sz w:val="24"/>
        </w:rPr>
        <w:t>，满足</w:t>
      </w:r>
      <w:r>
        <w:rPr>
          <w:rFonts w:hint="default" w:ascii="Times New Roman" w:hAnsi="Times New Roman" w:cs="Times New Roman" w:eastAsiaTheme="majorEastAsia"/>
          <w:spacing w:val="-10"/>
          <w:sz w:val="24"/>
        </w:rPr>
        <w:t>《建材工业大气污染物排放标准》（DB37/2373-2018）表3“除水泥外的其他建材”标准要求</w:t>
      </w:r>
      <w:r>
        <w:rPr>
          <w:rFonts w:hint="default" w:ascii="Times New Roman" w:hAnsi="Times New Roman" w:cs="Times New Roman" w:eastAsiaTheme="majorEastAsia"/>
          <w:spacing w:val="-10"/>
          <w:sz w:val="24"/>
        </w:rPr>
        <w:t>。</w:t>
      </w:r>
    </w:p>
    <w:p>
      <w:pPr>
        <w:keepNext w:val="0"/>
        <w:keepLines w:val="0"/>
        <w:pageBreakBefore w:val="0"/>
        <w:kinsoku/>
        <w:wordWrap/>
        <w:overflowPunct/>
        <w:topLinePunct w:val="0"/>
        <w:autoSpaceDE/>
        <w:autoSpaceDN/>
        <w:bidi w:val="0"/>
        <w:spacing w:line="360" w:lineRule="auto"/>
        <w:ind w:left="0" w:leftChars="0" w:right="0" w:rightChars="0"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w:t>
      </w:r>
      <w:r>
        <w:rPr>
          <w:rFonts w:hint="default" w:ascii="Times New Roman" w:hAnsi="Times New Roman" w:cs="Times New Roman" w:eastAsiaTheme="majorEastAsia"/>
          <w:sz w:val="24"/>
        </w:rPr>
        <w:t>废水</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本项目废水主要为生活废水、</w:t>
      </w:r>
      <w:r>
        <w:rPr>
          <w:rFonts w:hint="default" w:ascii="Times New Roman" w:hAnsi="Times New Roman" w:eastAsia="宋体" w:cs="Times New Roman"/>
          <w:color w:val="000000"/>
          <w:sz w:val="24"/>
          <w:lang w:val="en-US" w:eastAsia="zh-CN"/>
        </w:rPr>
        <w:t>水洗废水、</w:t>
      </w:r>
      <w:r>
        <w:rPr>
          <w:rFonts w:hint="default" w:ascii="Times New Roman" w:hAnsi="Times New Roman" w:eastAsia="宋体" w:cs="Times New Roman"/>
          <w:color w:val="000000"/>
          <w:sz w:val="24"/>
        </w:rPr>
        <w:t>设备清洗废水，生活废水经化粪池预处理后由环卫部门定期清运，设备清洗用水</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水洗砂用水</w:t>
      </w:r>
      <w:r>
        <w:rPr>
          <w:rFonts w:hint="default" w:ascii="Times New Roman" w:hAnsi="Times New Roman" w:eastAsia="宋体" w:cs="Times New Roman"/>
          <w:color w:val="000000"/>
          <w:sz w:val="24"/>
        </w:rPr>
        <w:t>回用于生产，无废水外排。</w:t>
      </w:r>
    </w:p>
    <w:p>
      <w:pPr>
        <w:keepNext w:val="0"/>
        <w:keepLines w:val="0"/>
        <w:pageBreakBefore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w:t>
      </w:r>
      <w:r>
        <w:rPr>
          <w:rFonts w:hint="default" w:ascii="Times New Roman" w:hAnsi="Times New Roman" w:cs="Times New Roman"/>
          <w:sz w:val="24"/>
        </w:rPr>
        <w:t>噪声</w:t>
      </w:r>
    </w:p>
    <w:p>
      <w:pPr>
        <w:pStyle w:val="14"/>
        <w:keepNext w:val="0"/>
        <w:keepLines w:val="0"/>
        <w:pageBreakBefore w:val="0"/>
        <w:kinsoku/>
        <w:wordWrap/>
        <w:overflowPunct/>
        <w:topLinePunct w:val="0"/>
        <w:autoSpaceDE/>
        <w:autoSpaceDN/>
        <w:bidi w:val="0"/>
        <w:snapToGrid w:val="0"/>
        <w:spacing w:line="360" w:lineRule="auto"/>
        <w:ind w:left="0" w:leftChars="0" w:right="0" w:rightChars="0"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验收监测期间，监测点位昼间噪声在</w:t>
      </w:r>
      <w:r>
        <w:rPr>
          <w:rFonts w:hint="default" w:ascii="Times New Roman" w:hAnsi="Times New Roman" w:cs="Times New Roman" w:eastAsiaTheme="majorEastAsia"/>
          <w:sz w:val="24"/>
          <w:szCs w:val="24"/>
        </w:rPr>
        <w:t>5</w:t>
      </w:r>
      <w:r>
        <w:rPr>
          <w:rFonts w:hint="default" w:ascii="Times New Roman" w:hAnsi="Times New Roman" w:cs="Times New Roman" w:eastAsiaTheme="majorEastAsia"/>
          <w:sz w:val="24"/>
          <w:szCs w:val="24"/>
          <w:lang w:val="en-US" w:eastAsia="zh-CN"/>
        </w:rPr>
        <w:t>2</w:t>
      </w:r>
      <w:r>
        <w:rPr>
          <w:rFonts w:hint="default" w:ascii="Times New Roman" w:hAnsi="Times New Roman" w:cs="Times New Roman" w:eastAsiaTheme="majorEastAsia"/>
          <w:sz w:val="24"/>
          <w:szCs w:val="24"/>
        </w:rPr>
        <w:t>.</w:t>
      </w:r>
      <w:r>
        <w:rPr>
          <w:rFonts w:hint="default" w:ascii="Times New Roman" w:hAnsi="Times New Roman" w:cs="Times New Roman" w:eastAsiaTheme="majorEastAsia"/>
          <w:sz w:val="24"/>
          <w:szCs w:val="24"/>
          <w:lang w:val="en-US" w:eastAsia="zh-CN"/>
        </w:rPr>
        <w:t>8</w:t>
      </w:r>
      <w:r>
        <w:rPr>
          <w:rFonts w:hint="default" w:ascii="Times New Roman" w:hAnsi="Times New Roman" w:cs="Times New Roman" w:eastAsiaTheme="majorEastAsia"/>
          <w:sz w:val="24"/>
          <w:szCs w:val="24"/>
        </w:rPr>
        <w:t>-</w:t>
      </w:r>
      <w:r>
        <w:rPr>
          <w:rFonts w:hint="default" w:ascii="Times New Roman" w:hAnsi="Times New Roman" w:cs="Times New Roman" w:eastAsiaTheme="majorEastAsia"/>
          <w:sz w:val="24"/>
          <w:szCs w:val="24"/>
        </w:rPr>
        <w:t>5</w:t>
      </w:r>
      <w:r>
        <w:rPr>
          <w:rFonts w:hint="default" w:ascii="Times New Roman" w:hAnsi="Times New Roman" w:cs="Times New Roman" w:eastAsiaTheme="majorEastAsia"/>
          <w:sz w:val="24"/>
          <w:szCs w:val="24"/>
          <w:lang w:val="en-US" w:eastAsia="zh-CN"/>
        </w:rPr>
        <w:t>6</w:t>
      </w:r>
      <w:r>
        <w:rPr>
          <w:rFonts w:hint="default" w:ascii="Times New Roman" w:hAnsi="Times New Roman" w:cs="Times New Roman" w:eastAsiaTheme="majorEastAsia"/>
          <w:sz w:val="24"/>
          <w:szCs w:val="24"/>
        </w:rPr>
        <w:t>.</w:t>
      </w:r>
      <w:r>
        <w:rPr>
          <w:rFonts w:hint="default" w:ascii="Times New Roman" w:hAnsi="Times New Roman" w:cs="Times New Roman" w:eastAsiaTheme="majorEastAsia"/>
          <w:sz w:val="24"/>
          <w:szCs w:val="24"/>
          <w:lang w:val="en-US" w:eastAsia="zh-CN"/>
        </w:rPr>
        <w:t>6</w:t>
      </w:r>
      <w:r>
        <w:rPr>
          <w:rFonts w:hint="default" w:ascii="Times New Roman" w:hAnsi="Times New Roman" w:cs="Times New Roman" w:eastAsiaTheme="majorEastAsia"/>
          <w:sz w:val="24"/>
          <w:szCs w:val="24"/>
        </w:rPr>
        <w:t xml:space="preserve"> (dB)之间，夜间不生产，符合《工业企业厂界环境噪声排放标准》（GB12348－2008）中的</w:t>
      </w:r>
      <w:r>
        <w:rPr>
          <w:rFonts w:hint="default" w:ascii="Times New Roman" w:hAnsi="Times New Roman" w:cs="Times New Roman" w:eastAsiaTheme="majorEastAsia"/>
          <w:sz w:val="24"/>
          <w:szCs w:val="24"/>
          <w:lang w:val="en-US" w:eastAsia="zh-CN"/>
        </w:rPr>
        <w:t>2</w:t>
      </w:r>
      <w:r>
        <w:rPr>
          <w:rFonts w:hint="default" w:ascii="Times New Roman" w:hAnsi="Times New Roman" w:cs="Times New Roman" w:eastAsiaTheme="majorEastAsia"/>
          <w:sz w:val="24"/>
          <w:szCs w:val="24"/>
        </w:rPr>
        <w:t>类标准</w:t>
      </w:r>
      <w:r>
        <w:rPr>
          <w:rFonts w:hint="default" w:ascii="Times New Roman" w:hAnsi="Times New Roman" w:cs="Times New Roman" w:eastAsiaTheme="majorEastAsia"/>
          <w:sz w:val="24"/>
          <w:szCs w:val="24"/>
        </w:rPr>
        <w:t>限值。</w:t>
      </w:r>
    </w:p>
    <w:p>
      <w:pPr>
        <w:pStyle w:val="14"/>
        <w:keepNext w:val="0"/>
        <w:keepLines w:val="0"/>
        <w:pageBreakBefore w:val="0"/>
        <w:kinsoku/>
        <w:wordWrap/>
        <w:overflowPunct/>
        <w:topLinePunct w:val="0"/>
        <w:autoSpaceDE/>
        <w:autoSpaceDN/>
        <w:bidi w:val="0"/>
        <w:snapToGrid w:val="0"/>
        <w:spacing w:line="360" w:lineRule="auto"/>
        <w:ind w:left="0" w:leftChars="0" w:right="0" w:rightChars="0"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④</w:t>
      </w:r>
      <w:r>
        <w:rPr>
          <w:rFonts w:hint="default" w:ascii="Times New Roman" w:hAnsi="Times New Roman" w:cs="Times New Roman" w:eastAsiaTheme="majorEastAsia"/>
          <w:sz w:val="24"/>
          <w:szCs w:val="24"/>
        </w:rPr>
        <w:t>固废</w:t>
      </w:r>
    </w:p>
    <w:p>
      <w:pPr>
        <w:keepNext w:val="0"/>
        <w:keepLines w:val="0"/>
        <w:pageBreakBefore w:val="0"/>
        <w:kinsoku/>
        <w:wordWrap/>
        <w:overflowPunct/>
        <w:topLinePunct w:val="0"/>
        <w:autoSpaceDE/>
        <w:autoSpaceDN/>
        <w:bidi w:val="0"/>
        <w:snapToGrid w:val="0"/>
        <w:spacing w:line="360" w:lineRule="auto"/>
        <w:ind w:left="0" w:leftChars="0" w:right="0" w:rightChars="0" w:firstLine="480" w:firstLineChars="200"/>
        <w:textAlignment w:val="auto"/>
        <w:rPr>
          <w:rFonts w:hint="default" w:ascii="Times New Roman" w:hAnsi="Times New Roman" w:cs="Times New Roman" w:eastAsiaTheme="majorEastAsia"/>
          <w:color w:val="000000"/>
          <w:sz w:val="24"/>
          <w:lang w:val="zh-CN"/>
        </w:rPr>
      </w:pPr>
      <w:r>
        <w:rPr>
          <w:rFonts w:hint="default" w:ascii="Times New Roman" w:hAnsi="Times New Roman" w:cs="Times New Roman" w:eastAsiaTheme="majorEastAsia"/>
          <w:color w:val="000000"/>
          <w:sz w:val="24"/>
          <w:lang w:val="zh-CN"/>
        </w:rPr>
        <w:t>项目产生的固体废物主要为</w:t>
      </w:r>
      <w:r>
        <w:rPr>
          <w:rFonts w:hint="default" w:ascii="Times New Roman" w:hAnsi="Times New Roman" w:cs="Times New Roman" w:eastAsiaTheme="majorEastAsia"/>
          <w:color w:val="000000"/>
          <w:sz w:val="24"/>
          <w:lang w:val="zh-CN"/>
        </w:rPr>
        <w:t>生产过程中产生的</w:t>
      </w:r>
      <w:r>
        <w:rPr>
          <w:rFonts w:hint="default" w:ascii="Times New Roman" w:hAnsi="Times New Roman" w:cs="Times New Roman" w:eastAsiaTheme="majorEastAsia"/>
          <w:color w:val="000000"/>
          <w:sz w:val="24"/>
          <w:lang w:val="en-US" w:eastAsia="zh-CN"/>
        </w:rPr>
        <w:t>除尘器收尘、压滤机泥渣</w:t>
      </w:r>
      <w:r>
        <w:rPr>
          <w:rFonts w:hint="default" w:ascii="Times New Roman" w:hAnsi="Times New Roman" w:cs="Times New Roman" w:eastAsiaTheme="majorEastAsia"/>
          <w:color w:val="000000"/>
          <w:sz w:val="24"/>
          <w:lang w:val="zh-CN"/>
        </w:rPr>
        <w:t>及生活垃圾。</w:t>
      </w:r>
      <w:r>
        <w:rPr>
          <w:rFonts w:hint="default" w:ascii="Times New Roman" w:hAnsi="Times New Roman" w:cs="Times New Roman" w:eastAsiaTheme="majorEastAsia"/>
          <w:color w:val="000000"/>
          <w:sz w:val="24"/>
          <w:lang w:val="en-US" w:eastAsia="zh-CN"/>
        </w:rPr>
        <w:t>除尘器收尘、压滤机泥渣全部作为原料回用于生产中，</w:t>
      </w:r>
      <w:r>
        <w:rPr>
          <w:rFonts w:hint="default" w:ascii="Times New Roman" w:hAnsi="Times New Roman" w:cs="Times New Roman" w:eastAsiaTheme="majorEastAsia"/>
          <w:color w:val="000000"/>
          <w:sz w:val="24"/>
          <w:lang w:val="zh-CN"/>
        </w:rPr>
        <w:t>生活垃圾收集后由环卫部门定期清运。</w:t>
      </w:r>
    </w:p>
    <w:p>
      <w:pPr>
        <w:keepNext w:val="0"/>
        <w:keepLines w:val="0"/>
        <w:pageBreakBefore w:val="0"/>
        <w:kinsoku/>
        <w:wordWrap/>
        <w:overflowPunct/>
        <w:topLinePunct w:val="0"/>
        <w:autoSpaceDE/>
        <w:autoSpaceDN/>
        <w:bidi w:val="0"/>
        <w:snapToGrid w:val="0"/>
        <w:spacing w:line="360" w:lineRule="auto"/>
        <w:ind w:left="0" w:leftChars="0" w:right="0" w:rightChars="0"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default" w:ascii="Times New Roman" w:hAnsi="Times New Roman" w:cs="Times New Roman"/>
          <w:sz w:val="24"/>
          <w:lang w:eastAsia="zh-CN"/>
        </w:rPr>
        <w:t>莘县竣鸿兴建筑材料有限公司</w:t>
      </w:r>
      <w:r>
        <w:rPr>
          <w:rFonts w:hint="default" w:ascii="Times New Roman" w:hAnsi="Times New Roman" w:cs="Times New Roman"/>
          <w:color w:val="000000"/>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84" w:lineRule="auto"/>
        <w:ind w:left="0" w:leftChars="0" w:right="0" w:rightChars="0"/>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keepNext w:val="0"/>
        <w:keepLines w:val="0"/>
        <w:pageBreakBefore w:val="0"/>
        <w:tabs>
          <w:tab w:val="left" w:pos="8880"/>
        </w:tabs>
        <w:kinsoku/>
        <w:wordWrap/>
        <w:overflowPunct/>
        <w:topLinePunct w:val="0"/>
        <w:autoSpaceDE/>
        <w:autoSpaceDN/>
        <w:bidi w:val="0"/>
        <w:snapToGrid w:val="0"/>
        <w:spacing w:line="360" w:lineRule="auto"/>
        <w:ind w:right="0" w:rightChars="0" w:firstLine="240" w:firstLineChars="100"/>
        <w:jc w:val="left"/>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1</w:t>
      </w:r>
      <w:r>
        <w:rPr>
          <w:rFonts w:hint="default" w:ascii="Times New Roman" w:hAnsi="Times New Roman" w:cs="Times New Roman" w:eastAsiaTheme="minorEastAsia"/>
          <w:sz w:val="24"/>
          <w:lang w:eastAsia="zh-CN"/>
        </w:rPr>
        <w:t>）上料处加大废气收集，加喷淋。</w:t>
      </w:r>
    </w:p>
    <w:p>
      <w:pPr>
        <w:pStyle w:val="2"/>
        <w:spacing w:line="360" w:lineRule="auto"/>
        <w:ind w:firstLine="240" w:firstLineChars="100"/>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b/>
          <w:bCs/>
          <w:sz w:val="24"/>
          <w:lang w:val="en-US" w:eastAsia="zh-CN"/>
        </w:rPr>
        <w:t>2</w:t>
      </w:r>
      <w:r>
        <w:rPr>
          <w:rFonts w:hint="default" w:ascii="Times New Roman" w:hAnsi="Times New Roman" w:cs="Times New Roman" w:eastAsiaTheme="minorEastAsia"/>
          <w:sz w:val="24"/>
          <w:lang w:eastAsia="zh-CN"/>
        </w:rPr>
        <w:t>）破碎、传输工序全密闭，减少无组织扬尘。</w:t>
      </w:r>
    </w:p>
    <w:p>
      <w:pPr>
        <w:pStyle w:val="2"/>
        <w:spacing w:line="360" w:lineRule="auto"/>
        <w:ind w:firstLine="240" w:firstLineChars="100"/>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b/>
          <w:bCs/>
          <w:sz w:val="24"/>
          <w:lang w:val="en-US" w:eastAsia="zh-CN"/>
        </w:rPr>
        <w:t>3</w:t>
      </w:r>
      <w:r>
        <w:rPr>
          <w:rFonts w:hint="default" w:ascii="Times New Roman" w:hAnsi="Times New Roman" w:cs="Times New Roman" w:eastAsiaTheme="minorEastAsia"/>
          <w:sz w:val="24"/>
          <w:lang w:eastAsia="zh-CN"/>
        </w:rPr>
        <w:t>）建议将无组织改为有组织排放，如果改成有组织排放应进行有组织污染物监测，确保达标排放。</w:t>
      </w:r>
    </w:p>
    <w:p>
      <w:pPr>
        <w:keepNext w:val="0"/>
        <w:keepLines w:val="0"/>
        <w:pageBreakBefore w:val="0"/>
        <w:kinsoku/>
        <w:wordWrap/>
        <w:overflowPunct/>
        <w:topLinePunct w:val="0"/>
        <w:autoSpaceDE/>
        <w:autoSpaceDN/>
        <w:bidi w:val="0"/>
        <w:snapToGrid w:val="0"/>
        <w:spacing w:line="360" w:lineRule="auto"/>
        <w:ind w:left="0" w:leftChars="0" w:right="0" w:rightChars="0"/>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ind w:left="0" w:leftChars="0" w:right="0" w:rightChars="0"/>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ind w:left="0" w:leftChars="0" w:right="0" w:right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left="0" w:leftChars="0" w:right="0" w:rightChars="0"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ind w:left="0" w:leftChars="0" w:right="0" w:rightChars="0"/>
        <w:jc w:val="righ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pacing w:line="360" w:lineRule="auto"/>
        <w:ind w:left="0" w:leftChars="0" w:right="0" w:rightChars="0"/>
        <w:jc w:val="right"/>
        <w:textAlignment w:val="auto"/>
        <w:rPr>
          <w:rFonts w:hint="default" w:ascii="Times New Roman" w:hAnsi="Times New Roman" w:cs="Times New Roman"/>
          <w:sz w:val="28"/>
          <w:szCs w:val="28"/>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ind w:left="0" w:leftChars="0" w:right="0" w:rightChars="0"/>
        <w:jc w:val="right"/>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莘县竣鸿兴建筑材料有限公司</w:t>
      </w:r>
      <w:r>
        <w:rPr>
          <w:rFonts w:hint="default" w:ascii="Times New Roman" w:hAnsi="Times New Roman" w:cs="Times New Roman"/>
          <w:b/>
          <w:bCs/>
          <w:sz w:val="28"/>
          <w:szCs w:val="28"/>
        </w:rPr>
        <w:t>验收组</w:t>
      </w:r>
    </w:p>
    <w:p>
      <w:pPr>
        <w:keepNext w:val="0"/>
        <w:keepLines w:val="0"/>
        <w:pageBreakBefore w:val="0"/>
        <w:kinsoku/>
        <w:wordWrap/>
        <w:overflowPunct/>
        <w:topLinePunct w:val="0"/>
        <w:autoSpaceDE/>
        <w:autoSpaceDN/>
        <w:bidi w:val="0"/>
        <w:spacing w:line="360" w:lineRule="auto"/>
        <w:ind w:left="0" w:leftChars="0" w:right="0" w:rightChars="0"/>
        <w:jc w:val="right"/>
        <w:textAlignment w:val="auto"/>
        <w:rPr>
          <w:rFonts w:hint="default" w:ascii="Times New Roman" w:hAnsi="Times New Roman"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b/>
          <w:bCs/>
          <w:sz w:val="28"/>
          <w:szCs w:val="28"/>
        </w:rPr>
        <w:t xml:space="preserve">  </w:t>
      </w:r>
      <w:r>
        <w:rPr>
          <w:rFonts w:hint="default" w:ascii="Times New Roman" w:hAnsi="Times New Roman" w:cs="Times New Roman"/>
          <w:b/>
          <w:bCs/>
          <w:sz w:val="28"/>
          <w:szCs w:val="28"/>
        </w:rPr>
        <w:t>202</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rPr>
        <w:t>年</w:t>
      </w:r>
      <w:r>
        <w:rPr>
          <w:rFonts w:hint="default" w:ascii="Times New Roman" w:hAnsi="Times New Roman" w:cs="Times New Roman"/>
          <w:b/>
          <w:bCs/>
          <w:sz w:val="28"/>
          <w:szCs w:val="28"/>
          <w:lang w:val="en-US" w:eastAsia="zh-CN"/>
        </w:rPr>
        <w:t>0</w:t>
      </w:r>
      <w:r>
        <w:rPr>
          <w:rFonts w:hint="default" w:ascii="Times New Roman" w:hAnsi="Times New Roman" w:cs="Times New Roman"/>
          <w:b/>
          <w:bCs/>
          <w:sz w:val="28"/>
          <w:szCs w:val="28"/>
        </w:rPr>
        <w:t>1</w:t>
      </w:r>
      <w:r>
        <w:rPr>
          <w:rFonts w:hint="default" w:ascii="Times New Roman" w:hAnsi="Times New Roman" w:cs="Times New Roman"/>
          <w:b/>
          <w:bCs/>
          <w:sz w:val="28"/>
          <w:szCs w:val="28"/>
        </w:rPr>
        <w:t>月</w:t>
      </w:r>
      <w:r>
        <w:rPr>
          <w:rFonts w:hint="default" w:ascii="Times New Roman" w:hAnsi="Times New Roman" w:cs="Times New Roman"/>
          <w:b/>
          <w:bCs/>
          <w:sz w:val="28"/>
          <w:szCs w:val="28"/>
          <w:lang w:val="en-US" w:eastAsia="zh-CN"/>
        </w:rPr>
        <w:t>30</w:t>
      </w:r>
      <w:r>
        <w:rPr>
          <w:rFonts w:hint="default" w:ascii="Times New Roman" w:hAnsi="Times New Roman" w:cs="Times New Roman"/>
          <w:b/>
          <w:bCs/>
          <w:sz w:val="28"/>
          <w:szCs w:val="28"/>
        </w:rPr>
        <w:t>日</w:t>
      </w:r>
    </w:p>
    <w:p>
      <w:pPr>
        <w:keepNext w:val="0"/>
        <w:keepLines w:val="0"/>
        <w:pageBreakBefore w:val="0"/>
        <w:kinsoku/>
        <w:wordWrap/>
        <w:overflowPunct/>
        <w:topLinePunct w:val="0"/>
        <w:autoSpaceDE/>
        <w:autoSpaceDN/>
        <w:bidi w:val="0"/>
        <w:ind w:left="0" w:leftChars="0" w:right="0" w:rightChars="0"/>
        <w:textAlignment w:val="auto"/>
        <w:rPr>
          <w:rFonts w:hint="default" w:ascii="Times New Roman" w:hAnsi="Times New Roman" w:eastAsia="楷体" w:cs="Times New Roman"/>
          <w:sz w:val="24"/>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p>
      <w:pPr>
        <w:pStyle w:val="14"/>
        <w:keepNext w:val="0"/>
        <w:keepLines w:val="0"/>
        <w:pageBreakBefore w:val="0"/>
        <w:kinsoku/>
        <w:wordWrap/>
        <w:overflowPunct/>
        <w:topLinePunct w:val="0"/>
        <w:autoSpaceDE/>
        <w:autoSpaceDN/>
        <w:bidi w:val="0"/>
        <w:ind w:left="0" w:leftChars="0" w:right="0" w:rightChars="0"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40B0A"/>
    <w:rsid w:val="00364672"/>
    <w:rsid w:val="003D58AD"/>
    <w:rsid w:val="0040329E"/>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6E3A"/>
    <w:rsid w:val="00FB3D28"/>
    <w:rsid w:val="00FC25EE"/>
    <w:rsid w:val="00FD3AA5"/>
    <w:rsid w:val="00FD5D44"/>
    <w:rsid w:val="00FE23E9"/>
    <w:rsid w:val="00FF3832"/>
    <w:rsid w:val="00FF647F"/>
    <w:rsid w:val="02170638"/>
    <w:rsid w:val="02725A5F"/>
    <w:rsid w:val="034D53E0"/>
    <w:rsid w:val="04334B5D"/>
    <w:rsid w:val="048F6451"/>
    <w:rsid w:val="049371F7"/>
    <w:rsid w:val="04E4350F"/>
    <w:rsid w:val="064E5AB3"/>
    <w:rsid w:val="069A05FE"/>
    <w:rsid w:val="06A72DCB"/>
    <w:rsid w:val="080C1189"/>
    <w:rsid w:val="0849791A"/>
    <w:rsid w:val="08516DB8"/>
    <w:rsid w:val="08AF225F"/>
    <w:rsid w:val="094004F1"/>
    <w:rsid w:val="09A048F3"/>
    <w:rsid w:val="09F84F7C"/>
    <w:rsid w:val="0AD52D3C"/>
    <w:rsid w:val="0B3710F6"/>
    <w:rsid w:val="0C2835D4"/>
    <w:rsid w:val="0D6841AF"/>
    <w:rsid w:val="0F227697"/>
    <w:rsid w:val="11C63CC0"/>
    <w:rsid w:val="125F2563"/>
    <w:rsid w:val="12942794"/>
    <w:rsid w:val="15B76792"/>
    <w:rsid w:val="15EB1852"/>
    <w:rsid w:val="15FA6752"/>
    <w:rsid w:val="162561F8"/>
    <w:rsid w:val="16280FDC"/>
    <w:rsid w:val="17AD020A"/>
    <w:rsid w:val="17B66550"/>
    <w:rsid w:val="180C1CE4"/>
    <w:rsid w:val="1887595F"/>
    <w:rsid w:val="188E2022"/>
    <w:rsid w:val="18B44C92"/>
    <w:rsid w:val="19253A0B"/>
    <w:rsid w:val="1A1158EF"/>
    <w:rsid w:val="1A7808F8"/>
    <w:rsid w:val="1ABA6881"/>
    <w:rsid w:val="1B5934FA"/>
    <w:rsid w:val="1CCD7FA6"/>
    <w:rsid w:val="1D4B33A4"/>
    <w:rsid w:val="1D557948"/>
    <w:rsid w:val="1D5B7BCD"/>
    <w:rsid w:val="1EB23C92"/>
    <w:rsid w:val="1F9C28CF"/>
    <w:rsid w:val="20796726"/>
    <w:rsid w:val="211B5472"/>
    <w:rsid w:val="22363645"/>
    <w:rsid w:val="226B0E09"/>
    <w:rsid w:val="22BA54AB"/>
    <w:rsid w:val="22D6359D"/>
    <w:rsid w:val="23113D0D"/>
    <w:rsid w:val="23357845"/>
    <w:rsid w:val="23403DB4"/>
    <w:rsid w:val="25497833"/>
    <w:rsid w:val="255147A5"/>
    <w:rsid w:val="25562AED"/>
    <w:rsid w:val="25CD431D"/>
    <w:rsid w:val="260B16DF"/>
    <w:rsid w:val="271B4EBC"/>
    <w:rsid w:val="279F415E"/>
    <w:rsid w:val="283C5140"/>
    <w:rsid w:val="29573470"/>
    <w:rsid w:val="2A5D2777"/>
    <w:rsid w:val="2CBE39A9"/>
    <w:rsid w:val="2D8B56A2"/>
    <w:rsid w:val="2DCE575E"/>
    <w:rsid w:val="2F3C4ED9"/>
    <w:rsid w:val="2F45678C"/>
    <w:rsid w:val="2FA55A34"/>
    <w:rsid w:val="30376CEF"/>
    <w:rsid w:val="31FA6149"/>
    <w:rsid w:val="32564D81"/>
    <w:rsid w:val="32C700BB"/>
    <w:rsid w:val="32E262F8"/>
    <w:rsid w:val="3398641F"/>
    <w:rsid w:val="33E5462F"/>
    <w:rsid w:val="34133620"/>
    <w:rsid w:val="34821CCF"/>
    <w:rsid w:val="34840C72"/>
    <w:rsid w:val="35410912"/>
    <w:rsid w:val="35C46E64"/>
    <w:rsid w:val="36331A3E"/>
    <w:rsid w:val="36991215"/>
    <w:rsid w:val="38E049E2"/>
    <w:rsid w:val="397A60B8"/>
    <w:rsid w:val="3A3428F0"/>
    <w:rsid w:val="3AA509F5"/>
    <w:rsid w:val="3BA24A74"/>
    <w:rsid w:val="3C17699B"/>
    <w:rsid w:val="3C9D29D7"/>
    <w:rsid w:val="3DA077DE"/>
    <w:rsid w:val="3E407687"/>
    <w:rsid w:val="3E5C226F"/>
    <w:rsid w:val="3FBB247E"/>
    <w:rsid w:val="40516DBF"/>
    <w:rsid w:val="40D92203"/>
    <w:rsid w:val="41132EB2"/>
    <w:rsid w:val="414C7804"/>
    <w:rsid w:val="41DB7BA1"/>
    <w:rsid w:val="43972817"/>
    <w:rsid w:val="446019CC"/>
    <w:rsid w:val="452C298C"/>
    <w:rsid w:val="460E279D"/>
    <w:rsid w:val="475A4A53"/>
    <w:rsid w:val="48027DC9"/>
    <w:rsid w:val="480879EB"/>
    <w:rsid w:val="48661010"/>
    <w:rsid w:val="48D2263D"/>
    <w:rsid w:val="49143F5A"/>
    <w:rsid w:val="49387C4F"/>
    <w:rsid w:val="49FD65E3"/>
    <w:rsid w:val="4AC47AEB"/>
    <w:rsid w:val="4AF45199"/>
    <w:rsid w:val="4B423993"/>
    <w:rsid w:val="4BC35B5B"/>
    <w:rsid w:val="4BD0179C"/>
    <w:rsid w:val="4D003B49"/>
    <w:rsid w:val="4E3308C7"/>
    <w:rsid w:val="4E790E79"/>
    <w:rsid w:val="4F8F6CE7"/>
    <w:rsid w:val="51654CA1"/>
    <w:rsid w:val="51E414C7"/>
    <w:rsid w:val="51FF4F61"/>
    <w:rsid w:val="5387588F"/>
    <w:rsid w:val="54CD54A4"/>
    <w:rsid w:val="551664C5"/>
    <w:rsid w:val="552779C0"/>
    <w:rsid w:val="55424CCC"/>
    <w:rsid w:val="55A13EDC"/>
    <w:rsid w:val="562F4C36"/>
    <w:rsid w:val="5657079A"/>
    <w:rsid w:val="57527534"/>
    <w:rsid w:val="576A5955"/>
    <w:rsid w:val="57AD542C"/>
    <w:rsid w:val="58300D1D"/>
    <w:rsid w:val="58444137"/>
    <w:rsid w:val="58E11F1F"/>
    <w:rsid w:val="5937253C"/>
    <w:rsid w:val="59581022"/>
    <w:rsid w:val="5A456A8C"/>
    <w:rsid w:val="5B8E6820"/>
    <w:rsid w:val="5BC26D6F"/>
    <w:rsid w:val="5BED7335"/>
    <w:rsid w:val="5C472B28"/>
    <w:rsid w:val="5C687BD7"/>
    <w:rsid w:val="5E06781D"/>
    <w:rsid w:val="5E922074"/>
    <w:rsid w:val="5EE4209E"/>
    <w:rsid w:val="5F2B195F"/>
    <w:rsid w:val="601870FA"/>
    <w:rsid w:val="60912840"/>
    <w:rsid w:val="610C2771"/>
    <w:rsid w:val="610F079A"/>
    <w:rsid w:val="61B05463"/>
    <w:rsid w:val="62915A06"/>
    <w:rsid w:val="637962C8"/>
    <w:rsid w:val="63D84758"/>
    <w:rsid w:val="63F5235F"/>
    <w:rsid w:val="64D951B9"/>
    <w:rsid w:val="66363C99"/>
    <w:rsid w:val="66DB6D33"/>
    <w:rsid w:val="67263F08"/>
    <w:rsid w:val="67767318"/>
    <w:rsid w:val="694738C3"/>
    <w:rsid w:val="6A1A42F1"/>
    <w:rsid w:val="6B101FDF"/>
    <w:rsid w:val="6B4651DB"/>
    <w:rsid w:val="6C935275"/>
    <w:rsid w:val="6CC23747"/>
    <w:rsid w:val="6D4A63F5"/>
    <w:rsid w:val="6DCC18C9"/>
    <w:rsid w:val="6E755ED6"/>
    <w:rsid w:val="6EDA722F"/>
    <w:rsid w:val="6EDE647C"/>
    <w:rsid w:val="6F5619E0"/>
    <w:rsid w:val="6F6451C9"/>
    <w:rsid w:val="6F66167C"/>
    <w:rsid w:val="6F7507C7"/>
    <w:rsid w:val="6F7D35D4"/>
    <w:rsid w:val="6FD701C2"/>
    <w:rsid w:val="70A47275"/>
    <w:rsid w:val="719373A8"/>
    <w:rsid w:val="73961E6D"/>
    <w:rsid w:val="74234EB6"/>
    <w:rsid w:val="747F6622"/>
    <w:rsid w:val="74B131B4"/>
    <w:rsid w:val="74EE52C0"/>
    <w:rsid w:val="75855AFA"/>
    <w:rsid w:val="76CF6FD5"/>
    <w:rsid w:val="76E73F84"/>
    <w:rsid w:val="77F141D8"/>
    <w:rsid w:val="78317827"/>
    <w:rsid w:val="793830BA"/>
    <w:rsid w:val="7A302F2D"/>
    <w:rsid w:val="7AC56F6C"/>
    <w:rsid w:val="7BFA3C44"/>
    <w:rsid w:val="7D1D4922"/>
    <w:rsid w:val="7D9D10FB"/>
    <w:rsid w:val="7DB52D9F"/>
    <w:rsid w:val="7DCF7863"/>
    <w:rsid w:val="7DE11416"/>
    <w:rsid w:val="7DFB73FA"/>
    <w:rsid w:val="7E2311A4"/>
    <w:rsid w:val="7E284750"/>
    <w:rsid w:val="7E536D58"/>
    <w:rsid w:val="7FC241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Normal Indent"/>
    <w:basedOn w:val="1"/>
    <w:qFormat/>
    <w:uiPriority w:val="0"/>
    <w:pPr>
      <w:ind w:firstLine="420" w:firstLineChars="200"/>
    </w:pPr>
  </w:style>
  <w:style w:type="paragraph" w:styleId="4">
    <w:name w:val="annotation text"/>
    <w:basedOn w:val="1"/>
    <w:link w:val="23"/>
    <w:unhideWhenUsed/>
    <w:qFormat/>
    <w:uiPriority w:val="0"/>
    <w:pPr>
      <w:jc w:val="left"/>
    </w:pPr>
  </w:style>
  <w:style w:type="paragraph" w:styleId="5">
    <w:name w:val="Body Text Indent"/>
    <w:basedOn w:val="1"/>
    <w:qFormat/>
    <w:uiPriority w:val="0"/>
    <w:pPr>
      <w:ind w:right="-100" w:firstLine="560" w:firstLineChars="200"/>
    </w:pPr>
    <w:rPr>
      <w:sz w:val="28"/>
    </w:rPr>
  </w:style>
  <w:style w:type="paragraph" w:styleId="6">
    <w:name w:val="Plain Text"/>
    <w:basedOn w:val="1"/>
    <w:semiHidden/>
    <w:unhideWhenUsed/>
    <w:qFormat/>
    <w:uiPriority w:val="99"/>
    <w:rPr>
      <w:rFonts w:ascii="宋体" w:hAnsi="Courier New" w:cs="Courier New"/>
      <w:szCs w:val="21"/>
    </w:rPr>
  </w:style>
  <w:style w:type="paragraph" w:styleId="7">
    <w:name w:val="Balloon Text"/>
    <w:basedOn w:val="1"/>
    <w:link w:val="21"/>
    <w:semiHidden/>
    <w:unhideWhenUsed/>
    <w:qFormat/>
    <w:uiPriority w:val="99"/>
    <w:rPr>
      <w:sz w:val="18"/>
      <w:szCs w:val="18"/>
    </w:rPr>
  </w:style>
  <w:style w:type="paragraph" w:styleId="8">
    <w:name w:val="footer"/>
    <w:basedOn w:val="1"/>
    <w:link w:val="16"/>
    <w:semiHidden/>
    <w:qFormat/>
    <w:uiPriority w:val="99"/>
    <w:pPr>
      <w:tabs>
        <w:tab w:val="center" w:pos="4153"/>
        <w:tab w:val="right" w:pos="8306"/>
      </w:tabs>
      <w:snapToGrid w:val="0"/>
      <w:jc w:val="left"/>
    </w:pPr>
    <w:rPr>
      <w:sz w:val="18"/>
      <w:szCs w:val="18"/>
    </w:rPr>
  </w:style>
  <w:style w:type="paragraph" w:styleId="9">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qFormat/>
    <w:uiPriority w:val="0"/>
    <w:pPr>
      <w:ind w:firstLine="420"/>
    </w:pPr>
  </w:style>
  <w:style w:type="table" w:styleId="12">
    <w:name w:val="Table Grid"/>
    <w:basedOn w:val="11"/>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li_正文"/>
    <w:basedOn w:val="1"/>
    <w:qFormat/>
    <w:uiPriority w:val="0"/>
    <w:pPr>
      <w:ind w:firstLine="200" w:firstLineChars="200"/>
      <w:jc w:val="left"/>
    </w:pPr>
    <w:rPr>
      <w:rFonts w:ascii="Calibri" w:hAnsi="Calibri"/>
      <w:sz w:val="28"/>
      <w:szCs w:val="28"/>
    </w:rPr>
  </w:style>
  <w:style w:type="character" w:customStyle="1" w:styleId="15">
    <w:name w:val="页眉 Char"/>
    <w:basedOn w:val="13"/>
    <w:link w:val="9"/>
    <w:semiHidden/>
    <w:qFormat/>
    <w:locked/>
    <w:uiPriority w:val="99"/>
    <w:rPr>
      <w:rFonts w:cs="Times New Roman"/>
      <w:sz w:val="18"/>
      <w:szCs w:val="18"/>
    </w:rPr>
  </w:style>
  <w:style w:type="character" w:customStyle="1" w:styleId="16">
    <w:name w:val="页脚 Char"/>
    <w:basedOn w:val="13"/>
    <w:link w:val="8"/>
    <w:semiHidden/>
    <w:qFormat/>
    <w:locked/>
    <w:uiPriority w:val="99"/>
    <w:rPr>
      <w:rFonts w:cs="Times New Roman"/>
      <w:sz w:val="18"/>
      <w:szCs w:val="18"/>
    </w:rPr>
  </w:style>
  <w:style w:type="paragraph" w:styleId="17">
    <w:name w:val="List Paragraph"/>
    <w:basedOn w:val="1"/>
    <w:qFormat/>
    <w:uiPriority w:val="99"/>
    <w:pPr>
      <w:ind w:firstLine="420" w:firstLineChars="200"/>
    </w:pPr>
  </w:style>
  <w:style w:type="character" w:customStyle="1" w:styleId="18">
    <w:name w:val="正1 Char"/>
    <w:link w:val="19"/>
    <w:qFormat/>
    <w:locked/>
    <w:uiPriority w:val="99"/>
    <w:rPr>
      <w:rFonts w:eastAsia="楷体_GB2312"/>
      <w:sz w:val="24"/>
    </w:rPr>
  </w:style>
  <w:style w:type="paragraph" w:customStyle="1" w:styleId="19">
    <w:name w:val="正1"/>
    <w:basedOn w:val="1"/>
    <w:link w:val="18"/>
    <w:qFormat/>
    <w:uiPriority w:val="99"/>
    <w:pPr>
      <w:spacing w:line="360" w:lineRule="auto"/>
      <w:ind w:firstLine="200" w:firstLineChars="200"/>
      <w:jc w:val="left"/>
    </w:pPr>
    <w:rPr>
      <w:rFonts w:ascii="Calibri" w:hAnsi="Calibri" w:eastAsia="楷体_GB2312"/>
      <w:kern w:val="0"/>
      <w:sz w:val="24"/>
    </w:rPr>
  </w:style>
  <w:style w:type="paragraph" w:customStyle="1" w:styleId="20">
    <w:name w:val="Char Char Char Char Char Char Char"/>
    <w:basedOn w:val="1"/>
    <w:qFormat/>
    <w:uiPriority w:val="99"/>
  </w:style>
  <w:style w:type="character" w:customStyle="1" w:styleId="21">
    <w:name w:val="批注框文本 Char"/>
    <w:basedOn w:val="13"/>
    <w:link w:val="7"/>
    <w:semiHidden/>
    <w:qFormat/>
    <w:uiPriority w:val="99"/>
    <w:rPr>
      <w:rFonts w:ascii="Times New Roman" w:hAnsi="Times New Roman"/>
      <w:kern w:val="2"/>
      <w:sz w:val="18"/>
      <w:szCs w:val="18"/>
    </w:rPr>
  </w:style>
  <w:style w:type="paragraph" w:customStyle="1" w:styleId="22">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3">
    <w:name w:val="批注文字 Char"/>
    <w:basedOn w:val="13"/>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417</Words>
  <Characters>2380</Characters>
  <Lines>19</Lines>
  <Paragraphs>5</Paragraphs>
  <TotalTime>5</TotalTime>
  <ScaleCrop>false</ScaleCrop>
  <LinksUpToDate>false</LinksUpToDate>
  <CharactersWithSpaces>2792</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2021-02-06T02:49:43Z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