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220"/>
        </w:tabs>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color w:val="auto"/>
          <w:sz w:val="28"/>
          <w:szCs w:val="28"/>
        </w:rPr>
      </w:pPr>
      <w:r>
        <w:rPr>
          <w:rFonts w:hint="default" w:ascii="Times New Roman" w:hAnsi="Times New Roman" w:cs="Times New Roman"/>
          <w:b/>
          <w:color w:val="auto"/>
          <w:sz w:val="28"/>
          <w:szCs w:val="28"/>
          <w:lang w:val="en-US" w:eastAsia="zh-CN"/>
        </w:rPr>
        <w:t>阳谷丰达食品有限公司年屠宰活禽1200万只、加工调理品300吨和冷冻水产品300吨项目（一期）</w:t>
      </w:r>
      <w:r>
        <w:rPr>
          <w:rFonts w:hint="default" w:ascii="Times New Roman" w:hAnsi="Times New Roman" w:eastAsia="宋体" w:cs="Times New Roman"/>
          <w:b/>
          <w:color w:val="auto"/>
          <w:sz w:val="28"/>
          <w:szCs w:val="28"/>
          <w:lang w:val="en-US" w:eastAsia="zh-CN"/>
        </w:rPr>
        <w:t>竣工</w:t>
      </w:r>
      <w:r>
        <w:rPr>
          <w:rFonts w:hint="default" w:ascii="Times New Roman" w:hAnsi="Times New Roman" w:eastAsia="宋体" w:cs="Times New Roman"/>
          <w:b/>
          <w:color w:val="auto"/>
          <w:sz w:val="28"/>
          <w:szCs w:val="28"/>
        </w:rPr>
        <w:t>环境保护验收现场检查及验收工作组验收意见</w:t>
      </w:r>
    </w:p>
    <w:p>
      <w:pPr>
        <w:keepNext w:val="0"/>
        <w:keepLines w:val="0"/>
        <w:pageBreakBefore w:val="0"/>
        <w:tabs>
          <w:tab w:val="left" w:pos="220"/>
        </w:tabs>
        <w:kinsoku/>
        <w:wordWrap/>
        <w:overflowPunct/>
        <w:topLinePunct w:val="0"/>
        <w:autoSpaceDE/>
        <w:autoSpaceDN/>
        <w:bidi w:val="0"/>
        <w:adjustRightInd w:val="0"/>
        <w:snapToGrid w:val="0"/>
        <w:spacing w:line="240" w:lineRule="auto"/>
        <w:ind w:left="233" w:leftChars="111" w:firstLine="518" w:firstLineChars="216"/>
        <w:jc w:val="left"/>
        <w:textAlignment w:val="auto"/>
        <w:rPr>
          <w:rFonts w:hint="default" w:ascii="Times New Roman" w:hAnsi="Times New Roman" w:cs="Times New Roman"/>
          <w:color w:val="auto"/>
          <w:sz w:val="24"/>
          <w:szCs w:val="24"/>
          <w:highlight w:val="none"/>
          <w:lang w:val="en-US" w:eastAsia="zh-CN"/>
        </w:rPr>
      </w:pP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highlight w:val="none"/>
          <w:lang w:val="en-US" w:eastAsia="zh-CN"/>
        </w:rPr>
        <w:t>2021</w:t>
      </w:r>
      <w:r>
        <w:rPr>
          <w:rFonts w:hint="default" w:ascii="Times New Roman" w:hAnsi="Times New Roman" w:eastAsia="宋体" w:cs="Times New Roman"/>
          <w:color w:val="auto"/>
          <w:sz w:val="24"/>
          <w:szCs w:val="24"/>
          <w:highlight w:val="none"/>
        </w:rPr>
        <w:t>年</w:t>
      </w:r>
      <w:r>
        <w:rPr>
          <w:rFonts w:hint="default"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月</w:t>
      </w:r>
      <w:r>
        <w:rPr>
          <w:rFonts w:hint="default" w:ascii="Times New Roman" w:hAnsi="Times New Roman"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日，</w:t>
      </w:r>
      <w:r>
        <w:rPr>
          <w:rFonts w:hint="default" w:ascii="Times New Roman" w:hAnsi="Times New Roman" w:cs="Times New Roman"/>
          <w:color w:val="auto"/>
          <w:sz w:val="24"/>
          <w:szCs w:val="24"/>
          <w:highlight w:val="none"/>
          <w:lang w:val="en-US" w:eastAsia="zh-CN"/>
        </w:rPr>
        <w:t>阳谷丰达食品有限公司</w:t>
      </w:r>
      <w:r>
        <w:rPr>
          <w:rFonts w:hint="default" w:ascii="Times New Roman" w:hAnsi="Times New Roman" w:eastAsia="宋体" w:cs="Times New Roman"/>
          <w:color w:val="auto"/>
          <w:sz w:val="24"/>
          <w:szCs w:val="24"/>
          <w:highlight w:val="none"/>
        </w:rPr>
        <w:t>组织召开</w:t>
      </w:r>
      <w:r>
        <w:rPr>
          <w:rFonts w:hint="default" w:ascii="Times New Roman" w:hAnsi="Times New Roman" w:cs="Times New Roman"/>
          <w:color w:val="auto"/>
          <w:sz w:val="24"/>
          <w:szCs w:val="24"/>
          <w:highlight w:val="none"/>
          <w:lang w:val="en-US" w:eastAsia="zh-CN"/>
        </w:rPr>
        <w:t>年屠宰活禽1200万只、加工调理品300吨和冷冻水产品300吨项目（一期）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default" w:ascii="Times New Roman" w:hAnsi="Times New Roman" w:cs="Times New Roman"/>
          <w:color w:val="auto"/>
          <w:sz w:val="24"/>
          <w:szCs w:val="24"/>
          <w:lang w:val="en-US" w:eastAsia="zh-CN"/>
        </w:rPr>
        <w:t>阳谷丰达食品有限公司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both"/>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阳谷丰达食品有限公司位于阳谷县石佛镇刘园路2号，项目占地面积为5920m</w:t>
      </w:r>
      <w:r>
        <w:rPr>
          <w:rFonts w:hint="default" w:ascii="Times New Roman" w:hAnsi="Times New Roman" w:cs="Times New Roman"/>
          <w:color w:val="auto"/>
          <w:sz w:val="24"/>
          <w:szCs w:val="24"/>
          <w:vertAlign w:val="superscript"/>
          <w:lang w:eastAsia="zh-CN"/>
        </w:rPr>
        <w:t>2</w:t>
      </w:r>
      <w:r>
        <w:rPr>
          <w:rFonts w:hint="default" w:ascii="Times New Roman" w:hAnsi="Times New Roman" w:cs="Times New Roman"/>
          <w:color w:val="auto"/>
          <w:sz w:val="24"/>
          <w:szCs w:val="24"/>
          <w:lang w:eastAsia="zh-CN"/>
        </w:rPr>
        <w:t>，预计总投资</w:t>
      </w:r>
      <w:r>
        <w:rPr>
          <w:rFonts w:hint="default" w:ascii="Times New Roman" w:hAnsi="Times New Roman" w:cs="Times New Roman"/>
          <w:color w:val="auto"/>
          <w:sz w:val="24"/>
          <w:szCs w:val="22"/>
          <w:lang w:eastAsia="zh-CN"/>
        </w:rPr>
        <w:t>8000万</w:t>
      </w:r>
      <w:r>
        <w:rPr>
          <w:rFonts w:hint="default" w:ascii="Times New Roman" w:hAnsi="Times New Roman" w:cs="Times New Roman"/>
          <w:color w:val="auto"/>
          <w:sz w:val="24"/>
          <w:szCs w:val="22"/>
          <w:lang w:eastAsia="zh-CN"/>
        </w:rPr>
        <w:t>，</w:t>
      </w:r>
      <w:r>
        <w:rPr>
          <w:rFonts w:hint="default" w:ascii="Times New Roman" w:hAnsi="Times New Roman" w:eastAsia="宋体" w:cs="Times New Roman"/>
          <w:color w:val="auto"/>
          <w:sz w:val="24"/>
          <w:szCs w:val="22"/>
          <w:lang w:eastAsia="zh-CN"/>
        </w:rPr>
        <w:t>建设</w:t>
      </w:r>
      <w:r>
        <w:rPr>
          <w:rFonts w:hint="default" w:ascii="Times New Roman" w:hAnsi="Times New Roman" w:cs="Times New Roman"/>
          <w:color w:val="auto"/>
          <w:sz w:val="24"/>
          <w:szCs w:val="22"/>
          <w:lang w:eastAsia="zh-CN"/>
        </w:rPr>
        <w:t>年屠宰活禽1200万只、加工调理品300吨和冷冻水产品300吨项目</w:t>
      </w:r>
      <w:r>
        <w:rPr>
          <w:rFonts w:hint="default" w:ascii="Times New Roman" w:hAnsi="Times New Roman" w:cs="Times New Roman"/>
          <w:color w:val="auto"/>
          <w:sz w:val="24"/>
          <w:szCs w:val="24"/>
          <w:lang w:eastAsia="zh-CN"/>
        </w:rPr>
        <w:t>。</w:t>
      </w:r>
    </w:p>
    <w:p>
      <w:pPr>
        <w:pStyle w:val="3"/>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eastAsia="zh-CN"/>
        </w:rPr>
        <w:t>由于企业资金问题，现实际投资4000万元，活禽屠宰工序设备实际购置数量比环评设计数量较少，调理品生产工序、冷冻水产品生产工序设备均未购置，项目分期验收，本次验收为一期，生产规模为年屠宰活禽400万只。</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阳谷丰达食品有限公司2020年5月委托青岛洁瑞环保技术服务有限公司编制《阳谷丰达食品有限公司年屠宰活禽1200万只、加工调理品300吨和冷冻水产品300吨项目环境影响报告书》，2020年6月24日通过阳谷县行政审批服务局的批复（阳行审环字〔2020〕48号）。项目于2021年4月投产，</w:t>
      </w:r>
      <w:r>
        <w:rPr>
          <w:rFonts w:hint="default" w:ascii="Times New Roman" w:hAnsi="Times New Roman" w:cs="Times New Roman"/>
          <w:color w:val="auto"/>
          <w:kern w:val="2"/>
          <w:sz w:val="24"/>
          <w:szCs w:val="24"/>
          <w:lang w:val="en-US" w:eastAsia="zh-CN" w:bidi="ar-SA"/>
        </w:rPr>
        <w:t>并</w:t>
      </w:r>
      <w:r>
        <w:rPr>
          <w:rFonts w:hint="default" w:ascii="Times New Roman" w:hAnsi="Times New Roman" w:eastAsia="宋体" w:cs="Times New Roman"/>
          <w:color w:val="auto"/>
          <w:kern w:val="2"/>
          <w:sz w:val="24"/>
          <w:szCs w:val="24"/>
          <w:lang w:val="en-US" w:eastAsia="zh-CN" w:bidi="ar-SA"/>
        </w:rPr>
        <w:t>委托山东聊和环保科技有限公司承担该项目一期的竣工环境保护验收监测（调查）工作。山东聊和环保科技有限公司于2021年4月9日派技术人员进行了现场勘查和资料搜集，编制了验收监测实施方案，于2021年04月22日-24日对该项目进行了竣工环保验收现场监测，根据现场监测和检查结果编制了验收监测（调查）报告。</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default" w:ascii="Times New Roman" w:hAnsi="Times New Roman"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default" w:ascii="Times New Roman" w:hAnsi="Times New Roman" w:cs="Times New Roman"/>
          <w:color w:val="auto"/>
          <w:sz w:val="24"/>
          <w:szCs w:val="24"/>
          <w:lang w:val="en-US" w:eastAsia="zh-CN"/>
        </w:rPr>
        <w:t>4000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default" w:ascii="Times New Roman" w:hAnsi="Times New Roman" w:cs="Times New Roman"/>
          <w:color w:val="auto"/>
          <w:sz w:val="24"/>
          <w:szCs w:val="24"/>
          <w:lang w:val="en-US" w:eastAsia="zh-CN"/>
        </w:rPr>
        <w:t>100</w:t>
      </w:r>
      <w:r>
        <w:rPr>
          <w:rFonts w:hint="default" w:ascii="Times New Roman" w:hAnsi="Times New Roman" w:eastAsia="宋体" w:cs="Times New Roman"/>
          <w:color w:val="auto"/>
          <w:sz w:val="24"/>
          <w:szCs w:val="24"/>
        </w:rPr>
        <w:t>万元</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default" w:ascii="Times New Roman" w:hAnsi="Times New Roman" w:cs="Times New Roman"/>
          <w:color w:val="auto"/>
          <w:sz w:val="24"/>
          <w:szCs w:val="24"/>
          <w:lang w:val="en-US" w:eastAsia="zh-CN"/>
        </w:rPr>
        <w:t>2.5</w:t>
      </w:r>
      <w:r>
        <w:rPr>
          <w:rFonts w:hint="default" w:ascii="Times New Roman" w:hAnsi="Times New Roman" w:eastAsia="宋体" w:cs="Times New Roman"/>
          <w:color w:val="auto"/>
          <w:sz w:val="24"/>
          <w:szCs w:val="24"/>
        </w:rPr>
        <w:t>％。</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w:t>
      </w:r>
      <w:r>
        <w:rPr>
          <w:rFonts w:hint="default" w:ascii="Times New Roman" w:hAnsi="Times New Roman" w:cs="Times New Roman"/>
          <w:color w:val="auto"/>
          <w:sz w:val="24"/>
          <w:szCs w:val="24"/>
          <w:lang w:eastAsia="zh-CN"/>
        </w:rPr>
        <w:t>一期</w:t>
      </w:r>
      <w:r>
        <w:rPr>
          <w:rFonts w:hint="default" w:ascii="Times New Roman" w:hAnsi="Times New Roman" w:eastAsia="宋体" w:cs="Times New Roman"/>
          <w:color w:val="auto"/>
          <w:sz w:val="24"/>
          <w:szCs w:val="24"/>
        </w:rPr>
        <w:t>的范围为</w:t>
      </w:r>
      <w:r>
        <w:rPr>
          <w:rFonts w:hint="default" w:ascii="Times New Roman" w:hAnsi="Times New Roman" w:cs="Times New Roman"/>
          <w:color w:val="auto"/>
          <w:sz w:val="24"/>
          <w:szCs w:val="24"/>
          <w:lang w:eastAsia="zh-CN"/>
        </w:rPr>
        <w:t>年屠宰400万只活禽</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通过现场调查，对照环评报告及审批意见：</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由于企业资金问题，现实际投资4000万元，活禽屠宰工序设备实际购置数量比环评设计数量较少，调理品生产工序、冷冻水产品生产工序设备均未购置，项目分期验收，本次验收为一期，生产规模为年屠宰活禽400万只。</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②设备情况：</w:t>
      </w:r>
    </w:p>
    <w:tbl>
      <w:tblPr>
        <w:tblStyle w:val="11"/>
        <w:tblW w:w="482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007"/>
        <w:gridCol w:w="2336"/>
        <w:gridCol w:w="964"/>
        <w:gridCol w:w="1939"/>
        <w:gridCol w:w="21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设备名称</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规格型号</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单位</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环评设计</w:t>
            </w:r>
            <w:r>
              <w:rPr>
                <w:rFonts w:hint="default" w:ascii="Times New Roman" w:hAnsi="Times New Roman" w:eastAsia="宋体" w:cs="Times New Roman"/>
                <w:b/>
                <w:bCs/>
                <w:color w:val="auto"/>
                <w:sz w:val="21"/>
                <w:szCs w:val="21"/>
                <w:vertAlign w:val="baseline"/>
                <w:lang w:val="en-US" w:eastAsia="zh-CN"/>
              </w:rPr>
              <w:t>数量</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一期实际数量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电晕机</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DM-1-1KW</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自动脱钩器</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HSS-1</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接禽导滑槽</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NDQ-III</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螺旋预冷机</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LXL-I-6000</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气鼓式恒温浸烫机</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12000</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卧式脱毛机</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PK-1007</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输送带</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TQL50</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条</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12级分级称</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YLX25-40</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胴体称</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TQC70</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打脖机</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DZ40</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清洗设备</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分切机</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清洗设备</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清洗设备</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6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制冷设备</w:t>
            </w:r>
          </w:p>
        </w:tc>
        <w:tc>
          <w:tcPr>
            <w:tcW w:w="1241"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512"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台</w:t>
            </w:r>
          </w:p>
        </w:tc>
        <w:tc>
          <w:tcPr>
            <w:tcW w:w="1030"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147" w:type="pct"/>
            <w:tcBorders>
              <w:tl2br w:val="nil"/>
              <w:tr2bl w:val="nil"/>
            </w:tcBorders>
            <w:noWrap w:val="0"/>
            <w:vAlign w:val="center"/>
          </w:tcPr>
          <w:p>
            <w:pPr>
              <w:pStyle w:val="14"/>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r>
    </w:tbl>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③环境保护措施</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企业在环评设计待宰、屠宰车间废气、污水处理站废气的环保处理设备（生物喷淋+低温等离子体光解复合净化）后，自主加设活性炭箱，提高废气处理效率。</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根据《关于印发污染影响类建设项目重大变动清单（试行）的通知》环办环评函〔2020〕688号，本项目以上变动不涉及重大变动</w:t>
      </w:r>
      <w:r>
        <w:rPr>
          <w:rFonts w:hint="default" w:ascii="Times New Roman" w:hAnsi="Times New Roman" w:eastAsia="宋体" w:cs="Times New Roman"/>
          <w:color w:val="auto"/>
          <w:sz w:val="24"/>
          <w:szCs w:val="24"/>
          <w:lang w:val="en-US" w:eastAsia="zh-CN"/>
        </w:rPr>
        <w:t>。</w:t>
      </w:r>
    </w:p>
    <w:p>
      <w:pPr>
        <w:pStyle w:val="15"/>
        <w:keepNext w:val="0"/>
        <w:keepLines w:val="0"/>
        <w:pageBreakBefore w:val="0"/>
        <w:numPr>
          <w:ilvl w:val="0"/>
          <w:numId w:val="1"/>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生产废水（活禽浸烫、脱毛废水、软水制备废水、胴体及机械清洗废水、车间地面冲洗废水、禽笼清洗废水、消毒废水及废气处理装置排水）及生活污水一同排入厂区污水处理站处理后，经专用污水管线排入阳谷县第二污水处理厂深度处理。</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cs="Times New Roman"/>
          <w:snapToGrid w:val="0"/>
          <w:color w:val="auto"/>
          <w:kern w:val="0"/>
          <w:sz w:val="24"/>
          <w:szCs w:val="24"/>
          <w:lang w:val="en-US" w:eastAsia="zh-CN"/>
        </w:rPr>
        <w:t>本</w:t>
      </w:r>
      <w:r>
        <w:rPr>
          <w:rFonts w:hint="default" w:ascii="Times New Roman" w:hAnsi="Times New Roman" w:eastAsia="宋体" w:cs="Times New Roman"/>
          <w:snapToGrid w:val="0"/>
          <w:color w:val="auto"/>
          <w:kern w:val="0"/>
          <w:sz w:val="24"/>
          <w:szCs w:val="24"/>
          <w:lang w:val="en-US" w:eastAsia="zh-CN"/>
        </w:rPr>
        <w:t>项目待宰、屠宰车间废气采取密闭收集，经生物喷淋+低温等离子体光解复合净化+活性炭处理后由15m高排气筒P1排放；污水处理站废气采取密闭收集，经生物喷淋+低温等离子体光解复合净化+活性炭处理后由15m高排气筒P2排放；食堂油烟采用油烟净化器处理后由高于屋顶1.5m的排气口P3排放。未被收集的恶臭气体通过车间通风后无组织排放。</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产生于活禽叫声、流水线、脱毛机、预冷机、水泵、风机等其他生产设备等的运行。经选用低噪声设备、合理布置高噪声设备、尽量远离厂界，并采取车间密闭、基础减震以及距离衰减等降噪措施，降低对外环境的影响。 </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5"/>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本项目主要固体废物包括屠宰车间羽毛、未收集禽血、鸡粪、废弃包装材料、死禽、栅渣、污水处理站的污泥、内脏废弃物、废光解灯管、废活性炭、废离子交换树脂、生活垃圾等。</w:t>
      </w:r>
    </w:p>
    <w:p>
      <w:pPr>
        <w:pStyle w:val="15"/>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待宰车间产生的鸡粪、活禽屠宰过程中产生的未收集禽血、屠宰过程产生的羽毛、活禽掏脏过程中会产生内脏废弃物、污水处理站处理废水产生的污泥、污水处理站格栅拦截的栅渣、隔油池废油均外售给山东阳谷禾壮肥料有限公司用作生产有机肥；废包装材料收集后外售；死禽集中存放于厂区病死鸡暂存场地临时存储，最后交由山东凤祥股份有限公司处理；废气处理设备产生的废光解灯管、废活性炭及软水制备系统产生的废离子交换树脂均属于危险废物，暂未产生，待产生后暂存于危废暂存间并定期委托有资质单位进行处理。生活垃圾由环卫部门定期清运。</w:t>
      </w:r>
    </w:p>
    <w:p>
      <w:pPr>
        <w:pStyle w:val="15"/>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四、验收监测结果</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default" w:ascii="Times New Roman" w:hAnsi="Times New Roman" w:cs="Times New Roman"/>
          <w:b w:val="0"/>
          <w:bCs w:val="0"/>
          <w:color w:val="auto"/>
          <w:sz w:val="24"/>
          <w:szCs w:val="24"/>
          <w:lang w:val="en-US" w:eastAsia="zh-CN"/>
        </w:rPr>
        <w:t>阳谷丰达食品有限公司年屠宰活禽1200万只、加工调理品300吨和冷冻水产品300吨项目</w:t>
      </w:r>
      <w:r>
        <w:rPr>
          <w:rFonts w:hint="eastAsia" w:ascii="Times New Roman" w:hAnsi="Times New Roman" w:cs="Times New Roman"/>
          <w:b w:val="0"/>
          <w:bCs w:val="0"/>
          <w:color w:val="auto"/>
          <w:sz w:val="24"/>
          <w:szCs w:val="24"/>
          <w:lang w:val="en-US" w:eastAsia="zh-CN"/>
        </w:rPr>
        <w:t>（一期）</w:t>
      </w:r>
      <w:r>
        <w:rPr>
          <w:rFonts w:hint="default" w:ascii="Times New Roman" w:hAnsi="Times New Roman" w:eastAsia="宋体" w:cs="Times New Roman"/>
          <w:color w:val="auto"/>
          <w:sz w:val="24"/>
          <w:szCs w:val="24"/>
        </w:rPr>
        <w:t>竣工环境保护验收监测报告》监测结果表明：</w:t>
      </w:r>
    </w:p>
    <w:p>
      <w:pPr>
        <w:keepNext w:val="0"/>
        <w:keepLines w:val="0"/>
        <w:pageBreakBefore w:val="0"/>
        <w:numPr>
          <w:ilvl w:val="0"/>
          <w:numId w:val="2"/>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废水pH测定范围在7.87-7.91，化学需氧量、五日生化需氧量、氨氮、悬浮物、总磷、总氮、动植物油、粪大肠菌群最大值分别为59mg/L、15.1mg/L、3.99mg/L、9mg/L、0.48mg/L、18.3mg/L、0.09mg/L、1.8×103mg/L，均满足《肉类加工工业水污染物排放标准》（GB13457-92）表3禽类屠宰加工三级标准要求及阳谷县第二污水处理厂进水水质要求。</w:t>
      </w:r>
    </w:p>
    <w:p>
      <w:pPr>
        <w:keepNext w:val="0"/>
        <w:keepLines w:val="0"/>
        <w:pageBreakBefore w:val="0"/>
        <w:numPr>
          <w:ilvl w:val="0"/>
          <w:numId w:val="3"/>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lang w:val="en-US" w:eastAsia="zh-CN"/>
        </w:rPr>
        <w:t>验收监测期间，全厂有组织排放的污染物中待宰车间、屠宰车间以及污水处理站产生的恶臭气体排放满足《恶臭污染物排放标准》（GB14554-93）表2相关排放限值；食堂油烟排放满足《饮食行业油烟排放标准》（DB37/597-2006）表2小型规模标准。无组织恶臭气体排放满足《恶臭污染物排放标准》（GB14554-93）表1二级新改扩建标准。</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keepNext w:val="0"/>
        <w:keepLines w:val="0"/>
        <w:pageBreakBefore w:val="0"/>
        <w:kinsoku/>
        <w:wordWrap/>
        <w:overflowPunct/>
        <w:topLinePunct w:val="0"/>
        <w:autoSpaceDE/>
        <w:autoSpaceDN/>
        <w:bidi w:val="0"/>
        <w:adjustRightInd w:val="0"/>
        <w:snapToGrid w:val="0"/>
        <w:spacing w:line="360" w:lineRule="auto"/>
        <w:ind w:left="216" w:leftChars="103"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验收监测期间，南、西、北厂界昼间噪声测定值在54.9dB~58.8dB之间，厂界昼间噪声测定值满足《工业企业厂界环境噪声排放标准》（GB 12348-2008）2类标准要求。</w:t>
      </w:r>
    </w:p>
    <w:p>
      <w:pPr>
        <w:keepNext w:val="0"/>
        <w:keepLines w:val="0"/>
        <w:pageBreakBefore w:val="0"/>
        <w:numPr>
          <w:ilvl w:val="0"/>
          <w:numId w:val="4"/>
        </w:numPr>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bookmarkStart w:id="0" w:name="_GoBack"/>
      <w:bookmarkEnd w:id="0"/>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val="zh-CN" w:eastAsia="zh-CN"/>
        </w:rPr>
        <w:t>同上文三、（四）</w:t>
      </w:r>
      <w:r>
        <w:rPr>
          <w:rFonts w:hint="default" w:ascii="Times New Roman" w:hAnsi="Times New Roman" w:cs="Times New Roman"/>
          <w:color w:val="auto"/>
          <w:sz w:val="24"/>
          <w:szCs w:val="24"/>
          <w:lang w:eastAsia="zh-CN"/>
        </w:rPr>
        <w:t>。</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cs="Times New Roman"/>
          <w:color w:val="auto"/>
          <w:sz w:val="24"/>
          <w:szCs w:val="24"/>
          <w:lang w:val="zh-CN" w:eastAsia="zh-CN"/>
        </w:rPr>
      </w:pPr>
      <w:r>
        <w:rPr>
          <w:rFonts w:hint="default" w:ascii="Times New Roman" w:hAnsi="Times New Roman" w:cs="Times New Roman"/>
          <w:color w:val="auto"/>
          <w:sz w:val="24"/>
          <w:szCs w:val="24"/>
          <w:lang w:val="zh-CN" w:eastAsia="zh-CN"/>
        </w:rPr>
        <w:t>（二）环境管理调查</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eastAsia="zh-CN"/>
        </w:rPr>
        <w:t>阳谷丰达食品有限公司</w:t>
      </w:r>
      <w:r>
        <w:rPr>
          <w:rFonts w:hint="default" w:ascii="Times New Roman" w:hAnsi="Times New Roman" w:eastAsia="宋体" w:cs="Times New Roman"/>
          <w:color w:val="auto"/>
          <w:sz w:val="24"/>
          <w:szCs w:val="24"/>
        </w:rPr>
        <w:t>制定了《</w:t>
      </w:r>
      <w:r>
        <w:rPr>
          <w:rFonts w:hint="default" w:ascii="Times New Roman" w:hAnsi="Times New Roman" w:cs="Times New Roman"/>
          <w:color w:val="auto"/>
          <w:sz w:val="24"/>
          <w:szCs w:val="24"/>
          <w:lang w:eastAsia="zh-CN"/>
        </w:rPr>
        <w:t>阳谷丰达食品有限公司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default"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五、专家意见：</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在今后企业环保工作中，建议企业落实以下要求。</w:t>
      </w:r>
    </w:p>
    <w:p>
      <w:pPr>
        <w:pStyle w:val="7"/>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卸鸡平台进一步密闭，减少污染物的排放；</w:t>
      </w:r>
    </w:p>
    <w:p>
      <w:pPr>
        <w:pStyle w:val="7"/>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保持车间卫生，注意清洁生产；</w:t>
      </w:r>
    </w:p>
    <w:p>
      <w:pPr>
        <w:pStyle w:val="7"/>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进一步规范危废暂存间，危废分类存放，完善管理制度和管理台账。严格按照《危险废物贮存污染控制标准》（GB18597-2001）及修改单要求，对产生的危险废物进行贮存和管理，并委托有资质的单位及时进行转移处置。</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六、</w:t>
      </w:r>
      <w:r>
        <w:rPr>
          <w:rFonts w:hint="default" w:ascii="Times New Roman" w:hAnsi="Times New Roman" w:eastAsia="宋体" w:cs="Times New Roman"/>
          <w:color w:val="auto"/>
          <w:sz w:val="24"/>
          <w:szCs w:val="24"/>
          <w:highlight w:val="none"/>
        </w:rPr>
        <w:t>验收结论</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鉴于项目符合国家和地方相关产业标准及准入要求，用地符合当地规划，环保设施与生产配套，验收期间各项监测指标满足国家相关排放标准，该项目通过环保验收。</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right"/>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color w:val="auto"/>
          <w:sz w:val="24"/>
          <w:szCs w:val="24"/>
          <w:highlight w:val="none"/>
          <w:lang w:eastAsia="zh-CN"/>
        </w:rPr>
        <w:t>阳谷丰达食品有限公司</w:t>
      </w:r>
      <w:r>
        <w:rPr>
          <w:rFonts w:hint="default" w:ascii="Times New Roman" w:hAnsi="Times New Roman" w:eastAsia="宋体" w:cs="Times New Roman"/>
          <w:color w:val="auto"/>
          <w:sz w:val="24"/>
          <w:szCs w:val="24"/>
          <w:highlight w:val="none"/>
        </w:rPr>
        <w:t>验收组</w:t>
      </w:r>
    </w:p>
    <w:p>
      <w:pPr>
        <w:pStyle w:val="14"/>
        <w:jc w:val="right"/>
        <w:rPr>
          <w:rFonts w:hint="default" w:ascii="Times New Roman" w:hAnsi="Times New Roman" w:cs="Times New Roman"/>
          <w:lang w:eastAsia="zh-CN"/>
        </w:rPr>
      </w:pPr>
      <w:r>
        <w:rPr>
          <w:rFonts w:hint="default" w:ascii="Times New Roman" w:hAnsi="Times New Roman" w:eastAsia="宋体" w:cs="Times New Roman"/>
          <w:color w:val="auto"/>
          <w:sz w:val="24"/>
          <w:szCs w:val="24"/>
          <w:highlight w:val="none"/>
        </w:rPr>
        <w:t xml:space="preserve">                                20</w:t>
      </w:r>
      <w:r>
        <w:rPr>
          <w:rFonts w:hint="default" w:ascii="Times New Roman" w:hAnsi="Times New Roman"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rPr>
        <w:t>年</w:t>
      </w:r>
      <w:r>
        <w:rPr>
          <w:rFonts w:hint="default"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月</w:t>
      </w:r>
      <w:r>
        <w:rPr>
          <w:rFonts w:hint="default" w:ascii="Times New Roman" w:hAnsi="Times New Roman"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日</w:t>
      </w:r>
    </w:p>
    <w:sectPr>
      <w:footerReference r:id="rId3" w:type="default"/>
      <w:pgSz w:w="11906" w:h="16838"/>
      <w:pgMar w:top="1440" w:right="1080" w:bottom="1440" w:left="108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71B7388"/>
    <w:rsid w:val="07D23E1C"/>
    <w:rsid w:val="0A775B6C"/>
    <w:rsid w:val="0BB105F9"/>
    <w:rsid w:val="0BCD78E3"/>
    <w:rsid w:val="0BD4352F"/>
    <w:rsid w:val="0D002E61"/>
    <w:rsid w:val="0E9F521D"/>
    <w:rsid w:val="0F753148"/>
    <w:rsid w:val="0FE85ED3"/>
    <w:rsid w:val="110D6D4E"/>
    <w:rsid w:val="126A6033"/>
    <w:rsid w:val="129B4442"/>
    <w:rsid w:val="13242E95"/>
    <w:rsid w:val="17073D8B"/>
    <w:rsid w:val="188E6607"/>
    <w:rsid w:val="18D05E89"/>
    <w:rsid w:val="19BD6A9B"/>
    <w:rsid w:val="1A3F7DAE"/>
    <w:rsid w:val="1AAF6CA7"/>
    <w:rsid w:val="1B753DC5"/>
    <w:rsid w:val="1C1262AC"/>
    <w:rsid w:val="1DCD1CD5"/>
    <w:rsid w:val="1DD83AFD"/>
    <w:rsid w:val="1E9D1B02"/>
    <w:rsid w:val="20F95110"/>
    <w:rsid w:val="21E62141"/>
    <w:rsid w:val="23253252"/>
    <w:rsid w:val="24D37795"/>
    <w:rsid w:val="24DD3549"/>
    <w:rsid w:val="27420539"/>
    <w:rsid w:val="27776D4F"/>
    <w:rsid w:val="284C33EF"/>
    <w:rsid w:val="286B6E9D"/>
    <w:rsid w:val="2A636C42"/>
    <w:rsid w:val="2B1967AA"/>
    <w:rsid w:val="2BAC752B"/>
    <w:rsid w:val="2BD129D7"/>
    <w:rsid w:val="2BFB35B9"/>
    <w:rsid w:val="2C8345D6"/>
    <w:rsid w:val="2DE61E9D"/>
    <w:rsid w:val="2E594393"/>
    <w:rsid w:val="31572BC2"/>
    <w:rsid w:val="33E80446"/>
    <w:rsid w:val="35A21894"/>
    <w:rsid w:val="35CA7C00"/>
    <w:rsid w:val="371221B6"/>
    <w:rsid w:val="3B2962D5"/>
    <w:rsid w:val="3B9345B4"/>
    <w:rsid w:val="3C495586"/>
    <w:rsid w:val="3C614E95"/>
    <w:rsid w:val="3D216C63"/>
    <w:rsid w:val="3D481CA9"/>
    <w:rsid w:val="3D9A76CF"/>
    <w:rsid w:val="425A3055"/>
    <w:rsid w:val="42D02360"/>
    <w:rsid w:val="42ED0B8D"/>
    <w:rsid w:val="440B2C50"/>
    <w:rsid w:val="45B12AB5"/>
    <w:rsid w:val="48B011CE"/>
    <w:rsid w:val="4BC32318"/>
    <w:rsid w:val="4D966CB6"/>
    <w:rsid w:val="4ED8058F"/>
    <w:rsid w:val="51603323"/>
    <w:rsid w:val="52082039"/>
    <w:rsid w:val="520B1012"/>
    <w:rsid w:val="537E6D51"/>
    <w:rsid w:val="54543AC0"/>
    <w:rsid w:val="556E616E"/>
    <w:rsid w:val="55B466E2"/>
    <w:rsid w:val="56DD1623"/>
    <w:rsid w:val="58D50062"/>
    <w:rsid w:val="5B994AD0"/>
    <w:rsid w:val="5BB97A85"/>
    <w:rsid w:val="5C705EEE"/>
    <w:rsid w:val="5CD21C9F"/>
    <w:rsid w:val="5D580A9C"/>
    <w:rsid w:val="5F0C4CFF"/>
    <w:rsid w:val="5F976D08"/>
    <w:rsid w:val="602A22C2"/>
    <w:rsid w:val="62D0451F"/>
    <w:rsid w:val="631C28B8"/>
    <w:rsid w:val="64C4763E"/>
    <w:rsid w:val="65826A80"/>
    <w:rsid w:val="66FB5067"/>
    <w:rsid w:val="69571AC0"/>
    <w:rsid w:val="69BB0050"/>
    <w:rsid w:val="6A4209DB"/>
    <w:rsid w:val="6ABA50EB"/>
    <w:rsid w:val="6B8F0525"/>
    <w:rsid w:val="6DEB0CC4"/>
    <w:rsid w:val="6E620EC2"/>
    <w:rsid w:val="71F91E85"/>
    <w:rsid w:val="72964393"/>
    <w:rsid w:val="72C90F73"/>
    <w:rsid w:val="72F943E2"/>
    <w:rsid w:val="73223BF6"/>
    <w:rsid w:val="73E11EE4"/>
    <w:rsid w:val="7593546D"/>
    <w:rsid w:val="75C3338A"/>
    <w:rsid w:val="76AB541C"/>
    <w:rsid w:val="76CF4204"/>
    <w:rsid w:val="77930543"/>
    <w:rsid w:val="79A0598C"/>
    <w:rsid w:val="7C9756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7">
    <w:name w:val="Plain Text"/>
    <w:basedOn w:val="1"/>
    <w:semiHidden/>
    <w:unhideWhenUsed/>
    <w:qFormat/>
    <w:uiPriority w:val="99"/>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w:basedOn w:val="4"/>
    <w:qFormat/>
    <w:uiPriority w:val="0"/>
    <w:pPr>
      <w:ind w:firstLine="420" w:firstLineChars="100"/>
    </w:pPr>
    <w:rPr>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3569</Words>
  <Characters>4117</Characters>
  <Lines>0</Lines>
  <Paragraphs>0</Paragraphs>
  <TotalTime>0</TotalTime>
  <ScaleCrop>false</ScaleCrop>
  <LinksUpToDate>false</LinksUpToDate>
  <CharactersWithSpaces>4161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2021-05-07T09:53:41Z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91DE6736D2534F9A9C16B610DAF8F981</vt:lpwstr>
  </property>
</Properties>
</file>