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20"/>
        </w:tabs>
        <w:kinsoku/>
        <w:wordWrap/>
        <w:overflowPunct/>
        <w:topLinePunct w:val="0"/>
        <w:autoSpaceDE/>
        <w:autoSpaceDN/>
        <w:bidi w:val="0"/>
        <w:adjustRightInd w:val="0"/>
        <w:snapToGrid w:val="0"/>
        <w:spacing w:line="360" w:lineRule="auto"/>
        <w:ind w:left="0" w:leftChars="0" w:firstLine="0" w:firstLineChars="0"/>
        <w:jc w:val="center"/>
        <w:textAlignment w:val="auto"/>
        <w:rPr>
          <w:rFonts w:hint="default" w:ascii="Times New Roman" w:hAnsi="Times New Roman" w:eastAsia="宋体" w:cs="Times New Roman"/>
          <w:b/>
          <w:color w:val="auto"/>
          <w:sz w:val="28"/>
          <w:szCs w:val="28"/>
        </w:rPr>
      </w:pPr>
      <w:r>
        <w:rPr>
          <w:rFonts w:hint="eastAsia" w:cs="Times New Roman"/>
          <w:b/>
          <w:color w:val="auto"/>
          <w:sz w:val="28"/>
          <w:szCs w:val="28"/>
          <w:lang w:val="en-US" w:eastAsia="zh-CN"/>
        </w:rPr>
        <w:t>聊城垚金新型节能环保建材有限公司年产4000万块淤泥、建筑垃圾、炉渣固废多孔砖项目（一期）</w:t>
      </w: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环境保护验收现场检查及验收工作组验收意见</w:t>
      </w:r>
    </w:p>
    <w:p>
      <w:pPr>
        <w:keepNext w:val="0"/>
        <w:keepLines w:val="0"/>
        <w:pageBreakBefore w:val="0"/>
        <w:tabs>
          <w:tab w:val="left" w:pos="220"/>
        </w:tabs>
        <w:kinsoku/>
        <w:wordWrap/>
        <w:overflowPunct/>
        <w:topLinePunct w:val="0"/>
        <w:autoSpaceDE/>
        <w:autoSpaceDN/>
        <w:bidi w:val="0"/>
        <w:adjustRightInd w:val="0"/>
        <w:snapToGrid w:val="0"/>
        <w:spacing w:line="240" w:lineRule="auto"/>
        <w:ind w:left="233" w:leftChars="111" w:firstLine="518" w:firstLineChars="216"/>
        <w:jc w:val="left"/>
        <w:textAlignment w:val="auto"/>
        <w:rPr>
          <w:rFonts w:hint="eastAsia" w:cs="Times New Roman"/>
          <w:color w:val="auto"/>
          <w:sz w:val="24"/>
          <w:szCs w:val="24"/>
          <w:highlight w:val="none"/>
          <w:lang w:val="en-US" w:eastAsia="zh-CN"/>
        </w:rPr>
      </w:pP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eastAsia" w:cs="Times New Roman"/>
          <w:color w:val="auto"/>
          <w:sz w:val="24"/>
          <w:szCs w:val="24"/>
          <w:highlight w:val="none"/>
          <w:lang w:val="en-US" w:eastAsia="zh-CN"/>
        </w:rPr>
        <w:t>2020年12月20</w:t>
      </w:r>
      <w:r>
        <w:rPr>
          <w:rFonts w:hint="eastAsia" w:cs="Times New Roman"/>
          <w:color w:val="auto"/>
          <w:sz w:val="24"/>
          <w:szCs w:val="24"/>
          <w:highlight w:val="none"/>
          <w:lang w:eastAsia="zh-CN"/>
        </w:rPr>
        <w:t>日</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聊城垚金新型节能环保建材有限公司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年产4000万块淤泥、建筑垃圾、炉渣固废多孔砖项目（一期）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聊城垚金新型节能环保建材有限公司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both"/>
        <w:textAlignment w:val="auto"/>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聊城垚金新型节能环保建材有限公司</w:t>
      </w:r>
      <w:r>
        <w:rPr>
          <w:rFonts w:hint="default" w:ascii="Times New Roman" w:hAnsi="Times New Roman" w:eastAsia="宋体" w:cs="Times New Roman"/>
          <w:color w:val="auto"/>
          <w:sz w:val="24"/>
          <w:szCs w:val="24"/>
          <w:lang w:eastAsia="zh-CN"/>
        </w:rPr>
        <w:t>位于山东省聊城市莘县王奉镇王店子村西1公里。项目</w:t>
      </w:r>
      <w:r>
        <w:rPr>
          <w:rFonts w:hint="eastAsia" w:cs="Times New Roman"/>
          <w:color w:val="auto"/>
          <w:sz w:val="24"/>
          <w:szCs w:val="24"/>
          <w:lang w:eastAsia="zh-CN"/>
        </w:rPr>
        <w:t>预计</w:t>
      </w:r>
      <w:r>
        <w:rPr>
          <w:rFonts w:hint="default" w:ascii="Times New Roman" w:hAnsi="Times New Roman" w:eastAsia="宋体" w:cs="Times New Roman"/>
          <w:color w:val="auto"/>
          <w:sz w:val="24"/>
          <w:szCs w:val="24"/>
          <w:lang w:eastAsia="zh-CN"/>
        </w:rPr>
        <w:t>总投资2232万元，总占地面积29.7亩，利用煤矸石和炉渣，以及周边建筑工地的建筑垃圾和周边河沟清淤的河渠淤泥，等固体废弃物做原材料采用节能环保隧道窑技术制成多孔砖建材产品，设计产能为年产4000万块多孔砖。</w:t>
      </w:r>
    </w:p>
    <w:p>
      <w:pPr>
        <w:pStyle w:val="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由于企业资金问题，实际投资</w:t>
      </w:r>
      <w:r>
        <w:rPr>
          <w:rFonts w:hint="eastAsia" w:cs="Times New Roman"/>
          <w:color w:val="auto"/>
          <w:sz w:val="24"/>
          <w:szCs w:val="24"/>
          <w:lang w:val="en-US" w:eastAsia="zh-CN"/>
        </w:rPr>
        <w:t>2200</w:t>
      </w:r>
      <w:r>
        <w:rPr>
          <w:rFonts w:hint="default" w:ascii="Times New Roman" w:hAnsi="Times New Roman" w:eastAsia="宋体" w:cs="Times New Roman"/>
          <w:color w:val="auto"/>
          <w:sz w:val="24"/>
          <w:szCs w:val="24"/>
          <w:lang w:eastAsia="zh-CN"/>
        </w:rPr>
        <w:t>万元，环评中成型设备为2套，实际生产为1套，另一套已废弃未拆除，项目分期验收</w:t>
      </w:r>
      <w:r>
        <w:rPr>
          <w:rFonts w:hint="eastAsia" w:cs="Times New Roman"/>
          <w:color w:val="auto"/>
          <w:sz w:val="24"/>
          <w:szCs w:val="24"/>
          <w:lang w:eastAsia="zh-CN"/>
        </w:rPr>
        <w:t>，本次验收为一期，生产规模为</w:t>
      </w:r>
      <w:r>
        <w:rPr>
          <w:rFonts w:hint="default" w:ascii="Times New Roman" w:hAnsi="Times New Roman" w:eastAsia="宋体" w:cs="Times New Roman"/>
          <w:color w:val="auto"/>
          <w:sz w:val="24"/>
          <w:szCs w:val="24"/>
          <w:lang w:eastAsia="zh-CN"/>
        </w:rPr>
        <w:t>年产</w:t>
      </w:r>
      <w:r>
        <w:rPr>
          <w:rFonts w:hint="eastAsia" w:cs="Times New Roman"/>
          <w:color w:val="auto"/>
          <w:sz w:val="24"/>
          <w:szCs w:val="24"/>
          <w:lang w:val="en-US" w:eastAsia="zh-CN"/>
        </w:rPr>
        <w:t>22</w:t>
      </w:r>
      <w:r>
        <w:rPr>
          <w:rFonts w:hint="default" w:ascii="Times New Roman" w:hAnsi="Times New Roman" w:eastAsia="宋体" w:cs="Times New Roman"/>
          <w:color w:val="auto"/>
          <w:sz w:val="24"/>
          <w:szCs w:val="24"/>
          <w:lang w:eastAsia="zh-CN"/>
        </w:rPr>
        <w:t>00万块多孔砖。</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2018年2月聊城垚金新型节能环保建材有限公司</w:t>
      </w:r>
      <w:r>
        <w:rPr>
          <w:rFonts w:hint="default" w:ascii="Times New Roman" w:hAnsi="Times New Roman" w:eastAsia="宋体" w:cs="Times New Roman"/>
          <w:color w:val="auto"/>
          <w:kern w:val="2"/>
          <w:sz w:val="24"/>
          <w:szCs w:val="24"/>
          <w:lang w:val="en-US" w:eastAsia="zh-CN" w:bidi="ar-SA"/>
        </w:rPr>
        <w:t>委托聊城市环境科学工程设计院有限公司编制了《聊城垚金新型节能环保建材有限公司年产4000万块淤泥、建筑垃圾、炉渣固废多孔砖项目环境影响报告书》，于2018年12月29日通过莘县环境保护局的批复（莘环审[2018]12号）</w:t>
      </w:r>
      <w:r>
        <w:rPr>
          <w:rFonts w:hint="eastAsia"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2020年4月委托山东聊和环保科技有限公司承担该项目</w:t>
      </w:r>
      <w:r>
        <w:rPr>
          <w:rFonts w:hint="eastAsia" w:cs="Times New Roman"/>
          <w:color w:val="auto"/>
          <w:kern w:val="2"/>
          <w:sz w:val="24"/>
          <w:szCs w:val="24"/>
          <w:lang w:val="en-US" w:eastAsia="zh-CN" w:bidi="ar-SA"/>
        </w:rPr>
        <w:t>一期</w:t>
      </w:r>
      <w:r>
        <w:rPr>
          <w:rFonts w:hint="default" w:ascii="Times New Roman" w:hAnsi="Times New Roman" w:eastAsia="宋体" w:cs="Times New Roman"/>
          <w:color w:val="auto"/>
          <w:kern w:val="2"/>
          <w:sz w:val="24"/>
          <w:szCs w:val="24"/>
          <w:lang w:val="en-US" w:eastAsia="zh-CN" w:bidi="ar-SA"/>
        </w:rPr>
        <w:t>的竣工环境保护验收监测工作</w:t>
      </w:r>
      <w:r>
        <w:rPr>
          <w:rFonts w:hint="eastAsia"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2020年10月6日至10月7日山东聊和环保科技有限公司对该项目</w:t>
      </w:r>
      <w:r>
        <w:rPr>
          <w:rFonts w:hint="eastAsia" w:cs="Times New Roman"/>
          <w:color w:val="auto"/>
          <w:kern w:val="2"/>
          <w:sz w:val="24"/>
          <w:szCs w:val="24"/>
          <w:lang w:val="en-US" w:eastAsia="zh-CN" w:bidi="ar-SA"/>
        </w:rPr>
        <w:t>一期</w:t>
      </w:r>
      <w:r>
        <w:rPr>
          <w:rFonts w:hint="default" w:ascii="Times New Roman" w:hAnsi="Times New Roman" w:eastAsia="宋体" w:cs="Times New Roman"/>
          <w:color w:val="auto"/>
          <w:kern w:val="2"/>
          <w:sz w:val="24"/>
          <w:szCs w:val="24"/>
          <w:lang w:val="en-US" w:eastAsia="zh-CN" w:bidi="ar-SA"/>
        </w:rPr>
        <w:t>进行了竣工环保验收现场监测，并根据现场监测和检查结果编制了本验收监测报告书。</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2100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397</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占总投资18.9％。</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的范围为年产2200万块多孔砖</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经过现场踏勘，由于河道清理淤泥的季节性，导致原料存放的局限性，面积较环评有所增加；环评中成型设备为2套，实际生产为1套，另一套已废弃未拆除，项目分期验收。</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综上，由于生产性质、生产地点、生产规模、环保设施和生产设备与工艺流程均无明显变动，根据《关于印发环评管理中部分行业建设项目重大变动清单的通知》环办[2015]52号、《环境影响评价法》和《建设项目环境保护管理条例》有关规定，以上变动不属于重大变更，可纳入竣工环境保护验收管理。</w:t>
      </w:r>
    </w:p>
    <w:p>
      <w:pPr>
        <w:pStyle w:val="17"/>
        <w:keepNext w:val="0"/>
        <w:keepLines w:val="0"/>
        <w:pageBreakBefore w:val="0"/>
        <w:numPr>
          <w:ilvl w:val="0"/>
          <w:numId w:val="1"/>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用水包括生产用水和生活用水。其中生产用水主要为搅拌成型、抑尘、脱硫除尘和湿电除尘用水，搅拌过程中加入的水全部在后续干燥、烘焙工序中蒸发损失，以蒸汽形式排入环境；脱硫进入石膏的水和湿电除尘用水循环使用，脱硫系统定期排污，全部回用于搅拌成型用水。故项目在运营过程中不产生生产废水，项目废水为办公生活废水，厂区使用旱厕，定期进行清运。生活废水经收集后用于厂区降尘洒水。</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项目有组织废气主要包括通过排气筒P1排放的煤矸石破碎废气，通过排气筒P2排放的原料破碎、搅拌混料废气，通过排气筒P3排放的窑炉烟气；无组织废气主要为物料运输、储存过程中产生的废气以及未被收集的集气罩收集的破碎、搅拌混料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（1）有组织废气</w:t>
      </w:r>
      <w:bookmarkStart w:id="0" w:name="_GoBack"/>
      <w:bookmarkEnd w:id="0"/>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1）煤矸石破碎废气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煤矸石破碎会产生粉尘，粉尘经集气罩收集后由布袋除尘器处理，处理后经一根15米高的排气筒P1排放。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2）原料破碎、混料搅拌废气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原料破碎、混料搅拌过程中会产生粉尘，粉尘经集气罩收集后由布袋除尘器处理，处理后果经1根15m高排气筒P2排放。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3）窑炉烟气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本项目多孔砖在砖坯焙烧过程中，利用天然气作为点火燃料，砖坯达到一定温度后使多孔砖内的煤矸石、炉渣、淤泥自燃。燃烧过程中会产生窑炉烟气，窑炉烟气通过水膜湿式双碱法脱硫除尘一体化系统和湿式静电除尘器处理后经35m高排气筒P3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（2）无组织废气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 xml:space="preserve">无组织废气主要为物料运输、储存过程中产生的废气以及未被收集的集气罩收集的破碎、搅拌废气。经过加强喷淋及车间通风的情况下，无组织排放 </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为输送机、粉碎机、搅拌机、切坯机等设备产生噪声。采用选用低噪声设备、对噪声较高的风机等设备采用布置在远离厂界的密闭车间内，基础减震、车间安装隔声门窗、距离衰减等措施，降低对外环境的影响。 </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本项目固废主要为脉冲袋式除尘器收集的粉尘，切坯过程中产生的废泥坯，出窑检查过程中产生的废砖、脱硫除尘产生的石膏以及尘渣、窑炉废耐火纤维、废机油及油桶、生活垃圾。</w:t>
      </w:r>
    </w:p>
    <w:p>
      <w:pPr>
        <w:pStyle w:val="1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脉冲袋式除尘器收集的粉尘、切坯过程中产生的废泥坯、出窑检查过程中产生的废砖、脱硫除尘产生的石膏以及尘渣全部回用进行二次生产；窑炉废耐火纤维和生活垃圾经收集后委托环卫部门统一清运处理；废油和油桶属于危险废物，暂时还未产生，产生时暂存于危废间，委托有资质单位处置。</w:t>
      </w:r>
    </w:p>
    <w:p>
      <w:pPr>
        <w:pStyle w:val="17"/>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聊城垚金新型节能环保建材有限公司年产4000万块淤泥、建筑垃圾、炉渣固废多孔砖项目</w:t>
      </w:r>
      <w:r>
        <w:rPr>
          <w:rFonts w:hint="default" w:ascii="Times New Roman" w:hAnsi="Times New Roman" w:eastAsia="宋体" w:cs="Times New Roman"/>
          <w:color w:val="auto"/>
          <w:sz w:val="24"/>
          <w:szCs w:val="24"/>
        </w:rPr>
        <w:t>竣工环境保护验收监测报告》监测结果表明：</w:t>
      </w: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eastAsia="zh-CN"/>
        </w:rPr>
        <w:t>同上文三、（一）</w:t>
      </w:r>
      <w:r>
        <w:rPr>
          <w:rFonts w:hint="default" w:ascii="Times New Roman" w:hAnsi="Times New Roman" w:eastAsia="宋体" w:cs="Times New Roman"/>
          <w:color w:val="auto"/>
          <w:sz w:val="24"/>
          <w:szCs w:val="24"/>
          <w:lang w:val="en-US" w:eastAsia="zh-CN"/>
        </w:rPr>
        <w:t>。</w:t>
      </w:r>
    </w:p>
    <w:p>
      <w:pPr>
        <w:keepNext w:val="0"/>
        <w:keepLines w:val="0"/>
        <w:pageBreakBefore w:val="0"/>
        <w:numPr>
          <w:ilvl w:val="0"/>
          <w:numId w:val="3"/>
        </w:numPr>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highlight w:val="none"/>
        </w:rPr>
        <w:t>验收监测期间，</w:t>
      </w:r>
      <w:r>
        <w:rPr>
          <w:rFonts w:hint="default" w:ascii="Times New Roman" w:hAnsi="Times New Roman" w:eastAsia="宋体" w:cs="Times New Roman"/>
          <w:color w:val="auto"/>
          <w:sz w:val="24"/>
          <w:szCs w:val="24"/>
          <w:highlight w:val="none"/>
          <w:lang w:eastAsia="zh-CN"/>
        </w:rPr>
        <w:t>排气筒</w:t>
      </w:r>
      <w:r>
        <w:rPr>
          <w:rFonts w:hint="default" w:ascii="Times New Roman" w:hAnsi="Times New Roman" w:eastAsia="宋体" w:cs="Times New Roman"/>
          <w:color w:val="auto"/>
          <w:sz w:val="24"/>
          <w:szCs w:val="24"/>
          <w:highlight w:val="none"/>
          <w:lang w:val="en-US" w:eastAsia="zh-CN"/>
        </w:rPr>
        <w:t>P1</w:t>
      </w:r>
      <w:r>
        <w:rPr>
          <w:rFonts w:hint="default" w:ascii="Times New Roman" w:hAnsi="Times New Roman" w:cs="Times New Roman"/>
          <w:color w:val="auto"/>
          <w:sz w:val="24"/>
          <w:szCs w:val="24"/>
          <w:highlight w:val="none"/>
        </w:rPr>
        <w:t>有组织</w:t>
      </w:r>
      <w:r>
        <w:rPr>
          <w:rFonts w:hint="default" w:ascii="Times New Roman" w:hAnsi="Times New Roman" w:cs="Times New Roman"/>
          <w:color w:val="auto"/>
          <w:sz w:val="24"/>
          <w:szCs w:val="24"/>
          <w:highlight w:val="none"/>
          <w:lang w:eastAsia="zh-CN"/>
        </w:rPr>
        <w:t>排放的污染物</w:t>
      </w:r>
      <w:r>
        <w:rPr>
          <w:rFonts w:hint="default" w:ascii="Times New Roman" w:hAnsi="Times New Roman" w:cs="Times New Roman"/>
          <w:color w:val="auto"/>
          <w:sz w:val="24"/>
          <w:szCs w:val="24"/>
          <w:highlight w:val="none"/>
        </w:rPr>
        <w:t>颗粒物</w:t>
      </w:r>
      <w:r>
        <w:rPr>
          <w:rFonts w:hint="default" w:ascii="Times New Roman" w:hAnsi="Times New Roman" w:cs="Times New Roman"/>
          <w:bCs/>
          <w:color w:val="auto"/>
          <w:sz w:val="24"/>
          <w:szCs w:val="24"/>
          <w:highlight w:val="none"/>
        </w:rPr>
        <w:t>最大排放浓度及</w:t>
      </w:r>
      <w:r>
        <w:rPr>
          <w:rFonts w:hint="default" w:ascii="Times New Roman" w:hAnsi="Times New Roman" w:cs="Times New Roman"/>
          <w:bCs/>
          <w:color w:val="auto"/>
          <w:sz w:val="24"/>
          <w:szCs w:val="24"/>
          <w:highlight w:val="none"/>
          <w:lang w:eastAsia="zh-CN"/>
        </w:rPr>
        <w:t>最大</w:t>
      </w:r>
      <w:r>
        <w:rPr>
          <w:rFonts w:hint="default" w:ascii="Times New Roman" w:hAnsi="Times New Roman" w:cs="Times New Roman"/>
          <w:bCs/>
          <w:color w:val="auto"/>
          <w:sz w:val="24"/>
          <w:szCs w:val="24"/>
          <w:highlight w:val="none"/>
        </w:rPr>
        <w:t>排放速率</w:t>
      </w:r>
      <w:r>
        <w:rPr>
          <w:rFonts w:hint="default" w:ascii="Times New Roman" w:hAnsi="Times New Roman" w:eastAsia="宋体" w:cs="Times New Roman"/>
          <w:bCs/>
          <w:color w:val="auto"/>
          <w:sz w:val="24"/>
          <w:szCs w:val="24"/>
          <w:highlight w:val="none"/>
          <w:lang w:eastAsia="zh-CN"/>
        </w:rPr>
        <w:t>分别为</w:t>
      </w:r>
      <w:r>
        <w:rPr>
          <w:rFonts w:hint="default" w:ascii="Times New Roman" w:hAnsi="Times New Roman" w:eastAsia="宋体" w:cs="Times New Roman"/>
          <w:bCs/>
          <w:color w:val="auto"/>
          <w:sz w:val="24"/>
          <w:szCs w:val="24"/>
          <w:highlight w:val="none"/>
          <w:lang w:val="en-US" w:eastAsia="zh-CN"/>
        </w:rPr>
        <w:t>4.1</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cs="Times New Roman"/>
          <w:b w:val="0"/>
          <w:bCs w:val="0"/>
          <w:color w:val="auto"/>
          <w:sz w:val="24"/>
          <w:szCs w:val="24"/>
          <w:vertAlign w:val="baseline"/>
          <w:lang w:val="en-US" w:eastAsia="zh-CN"/>
        </w:rPr>
        <w:t>0.017</w:t>
      </w:r>
      <w:r>
        <w:rPr>
          <w:rFonts w:hint="default" w:ascii="Times New Roman" w:hAnsi="Times New Roman" w:eastAsia="宋体" w:cs="Times New Roman"/>
          <w:bCs/>
          <w:color w:val="auto"/>
          <w:sz w:val="24"/>
          <w:szCs w:val="24"/>
          <w:highlight w:val="none"/>
          <w:lang w:val="en-US" w:eastAsia="zh-CN"/>
        </w:rPr>
        <w:t>kg/h，</w:t>
      </w:r>
      <w:r>
        <w:rPr>
          <w:rFonts w:hint="default" w:ascii="Times New Roman" w:hAnsi="Times New Roman" w:eastAsia="宋体" w:cs="Times New Roman"/>
          <w:color w:val="auto"/>
          <w:sz w:val="24"/>
          <w:szCs w:val="24"/>
          <w:highlight w:val="none"/>
          <w:lang w:eastAsia="zh-CN"/>
        </w:rPr>
        <w:t>排气筒</w:t>
      </w:r>
      <w:r>
        <w:rPr>
          <w:rFonts w:hint="default" w:ascii="Times New Roman" w:hAnsi="Times New Roman" w:eastAsia="宋体" w:cs="Times New Roman"/>
          <w:color w:val="auto"/>
          <w:sz w:val="24"/>
          <w:szCs w:val="24"/>
          <w:highlight w:val="none"/>
          <w:lang w:val="en-US" w:eastAsia="zh-CN"/>
        </w:rPr>
        <w:t>P2</w:t>
      </w:r>
      <w:r>
        <w:rPr>
          <w:rFonts w:hint="default" w:ascii="Times New Roman" w:hAnsi="Times New Roman" w:cs="Times New Roman"/>
          <w:color w:val="auto"/>
          <w:sz w:val="24"/>
          <w:szCs w:val="24"/>
          <w:highlight w:val="none"/>
        </w:rPr>
        <w:t>有组织</w:t>
      </w:r>
      <w:r>
        <w:rPr>
          <w:rFonts w:hint="default" w:ascii="Times New Roman" w:hAnsi="Times New Roman" w:cs="Times New Roman"/>
          <w:color w:val="auto"/>
          <w:sz w:val="24"/>
          <w:szCs w:val="24"/>
          <w:highlight w:val="none"/>
          <w:lang w:eastAsia="zh-CN"/>
        </w:rPr>
        <w:t>排放的污染物</w:t>
      </w:r>
      <w:r>
        <w:rPr>
          <w:rFonts w:hint="default" w:ascii="Times New Roman" w:hAnsi="Times New Roman" w:cs="Times New Roman"/>
          <w:color w:val="auto"/>
          <w:sz w:val="24"/>
          <w:szCs w:val="24"/>
          <w:highlight w:val="none"/>
        </w:rPr>
        <w:t>颗粒物</w:t>
      </w:r>
      <w:r>
        <w:rPr>
          <w:rFonts w:hint="default" w:ascii="Times New Roman" w:hAnsi="Times New Roman" w:cs="Times New Roman"/>
          <w:bCs/>
          <w:color w:val="auto"/>
          <w:sz w:val="24"/>
          <w:szCs w:val="24"/>
          <w:highlight w:val="none"/>
        </w:rPr>
        <w:t>最大排放浓度及</w:t>
      </w:r>
      <w:r>
        <w:rPr>
          <w:rFonts w:hint="default" w:ascii="Times New Roman" w:hAnsi="Times New Roman" w:cs="Times New Roman"/>
          <w:bCs/>
          <w:color w:val="auto"/>
          <w:sz w:val="24"/>
          <w:szCs w:val="24"/>
          <w:highlight w:val="none"/>
          <w:lang w:eastAsia="zh-CN"/>
        </w:rPr>
        <w:t>最大</w:t>
      </w:r>
      <w:r>
        <w:rPr>
          <w:rFonts w:hint="default" w:ascii="Times New Roman" w:hAnsi="Times New Roman" w:cs="Times New Roman"/>
          <w:bCs/>
          <w:color w:val="auto"/>
          <w:sz w:val="24"/>
          <w:szCs w:val="24"/>
          <w:highlight w:val="none"/>
        </w:rPr>
        <w:t>排放速率</w:t>
      </w:r>
      <w:r>
        <w:rPr>
          <w:rFonts w:hint="default" w:ascii="Times New Roman" w:hAnsi="Times New Roman" w:eastAsia="宋体" w:cs="Times New Roman"/>
          <w:bCs/>
          <w:color w:val="auto"/>
          <w:sz w:val="24"/>
          <w:szCs w:val="24"/>
          <w:highlight w:val="none"/>
          <w:lang w:eastAsia="zh-CN"/>
        </w:rPr>
        <w:t>分别为</w:t>
      </w:r>
      <w:r>
        <w:rPr>
          <w:rFonts w:hint="default" w:ascii="Times New Roman" w:hAnsi="Times New Roman" w:eastAsia="宋体" w:cs="Times New Roman"/>
          <w:bCs/>
          <w:color w:val="auto"/>
          <w:sz w:val="24"/>
          <w:szCs w:val="24"/>
          <w:highlight w:val="none"/>
          <w:lang w:val="en-US" w:eastAsia="zh-CN"/>
        </w:rPr>
        <w:t>4.5</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cs="Times New Roman"/>
          <w:b w:val="0"/>
          <w:bCs w:val="0"/>
          <w:color w:val="auto"/>
          <w:sz w:val="24"/>
          <w:szCs w:val="24"/>
          <w:vertAlign w:val="baseline"/>
          <w:lang w:val="en-US" w:eastAsia="zh-CN"/>
        </w:rPr>
        <w:t>0.021</w:t>
      </w:r>
      <w:r>
        <w:rPr>
          <w:rFonts w:hint="default" w:ascii="Times New Roman" w:hAnsi="Times New Roman" w:eastAsia="宋体" w:cs="Times New Roman"/>
          <w:bCs/>
          <w:color w:val="auto"/>
          <w:sz w:val="24"/>
          <w:szCs w:val="24"/>
          <w:highlight w:val="none"/>
          <w:lang w:val="en-US" w:eastAsia="zh-CN"/>
        </w:rPr>
        <w:t>kg/h，</w:t>
      </w:r>
      <w:r>
        <w:rPr>
          <w:rFonts w:hint="eastAsia" w:ascii="Times New Roman" w:hAnsi="Times New Roman" w:cs="Times New Roman"/>
          <w:bCs/>
          <w:color w:val="auto"/>
          <w:sz w:val="24"/>
          <w:szCs w:val="24"/>
          <w:highlight w:val="none"/>
          <w:lang w:eastAsia="zh-CN"/>
        </w:rPr>
        <w:t>满足《区域性</w:t>
      </w:r>
      <w:r>
        <w:rPr>
          <w:rFonts w:hint="default" w:ascii="Times New Roman" w:hAnsi="Times New Roman" w:cs="Times New Roman"/>
          <w:bCs/>
          <w:color w:val="auto"/>
          <w:sz w:val="24"/>
          <w:szCs w:val="24"/>
          <w:highlight w:val="none"/>
          <w:lang w:eastAsia="zh-CN"/>
        </w:rPr>
        <w:t>大气污染物综合排放标准》（DB37/2376-201</w:t>
      </w:r>
      <w:r>
        <w:rPr>
          <w:rFonts w:hint="default" w:ascii="Times New Roman" w:hAnsi="Times New Roman" w:cs="Times New Roman"/>
          <w:bCs/>
          <w:color w:val="auto"/>
          <w:sz w:val="24"/>
          <w:szCs w:val="24"/>
          <w:highlight w:val="none"/>
          <w:lang w:val="en-US" w:eastAsia="zh-CN"/>
        </w:rPr>
        <w:t>9</w:t>
      </w:r>
      <w:r>
        <w:rPr>
          <w:rFonts w:hint="default" w:ascii="Times New Roman" w:hAnsi="Times New Roman" w:cs="Times New Roman"/>
          <w:bCs/>
          <w:color w:val="auto"/>
          <w:sz w:val="24"/>
          <w:szCs w:val="24"/>
          <w:highlight w:val="none"/>
          <w:lang w:eastAsia="zh-CN"/>
        </w:rPr>
        <w:t>）表</w:t>
      </w:r>
      <w:r>
        <w:rPr>
          <w:rFonts w:hint="default" w:ascii="Times New Roman" w:hAnsi="Times New Roman" w:cs="Times New Roman"/>
          <w:bCs/>
          <w:color w:val="auto"/>
          <w:sz w:val="24"/>
          <w:szCs w:val="24"/>
          <w:highlight w:val="none"/>
          <w:lang w:val="en-US" w:eastAsia="zh-CN"/>
        </w:rPr>
        <w:t>1</w:t>
      </w:r>
      <w:r>
        <w:rPr>
          <w:rFonts w:hint="default" w:ascii="Times New Roman" w:hAnsi="Times New Roman" w:cs="Times New Roman"/>
          <w:bCs/>
          <w:color w:val="auto"/>
          <w:sz w:val="24"/>
          <w:szCs w:val="24"/>
          <w:highlight w:val="none"/>
          <w:lang w:eastAsia="zh-CN"/>
        </w:rPr>
        <w:t>中“一般控制区”标准及《大气污染物综合排放标准》（GB16297-1996）表</w:t>
      </w:r>
      <w:r>
        <w:rPr>
          <w:rFonts w:hint="default" w:ascii="Times New Roman" w:hAnsi="Times New Roman" w:cs="Times New Roman"/>
          <w:bCs/>
          <w:color w:val="auto"/>
          <w:sz w:val="24"/>
          <w:szCs w:val="24"/>
          <w:highlight w:val="none"/>
          <w:lang w:val="en-US" w:eastAsia="zh-CN"/>
        </w:rPr>
        <w:t>2</w:t>
      </w:r>
      <w:r>
        <w:rPr>
          <w:rFonts w:hint="default" w:ascii="Times New Roman" w:hAnsi="Times New Roman"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eastAsia="zh-CN"/>
        </w:rPr>
        <w:t>排气筒</w:t>
      </w:r>
      <w:r>
        <w:rPr>
          <w:rFonts w:hint="default" w:ascii="Times New Roman" w:hAnsi="Times New Roman" w:eastAsia="宋体" w:cs="Times New Roman"/>
          <w:bCs/>
          <w:color w:val="auto"/>
          <w:sz w:val="24"/>
          <w:szCs w:val="24"/>
          <w:highlight w:val="none"/>
          <w:lang w:val="en-US" w:eastAsia="zh-CN"/>
        </w:rPr>
        <w:t>P3有组织排放的污染物中颗粒物、SO</w:t>
      </w:r>
      <w:r>
        <w:rPr>
          <w:rFonts w:hint="default" w:ascii="Times New Roman" w:hAnsi="Times New Roman" w:eastAsia="宋体" w:cs="Times New Roman"/>
          <w:bCs/>
          <w:color w:val="auto"/>
          <w:sz w:val="24"/>
          <w:szCs w:val="24"/>
          <w:highlight w:val="none"/>
          <w:vertAlign w:val="subscript"/>
          <w:lang w:val="en-US" w:eastAsia="zh-CN"/>
        </w:rPr>
        <w:t>2</w:t>
      </w:r>
      <w:r>
        <w:rPr>
          <w:rFonts w:hint="default" w:ascii="Times New Roman" w:hAnsi="Times New Roman" w:eastAsia="宋体" w:cs="Times New Roman"/>
          <w:bCs/>
          <w:color w:val="auto"/>
          <w:sz w:val="24"/>
          <w:szCs w:val="24"/>
          <w:highlight w:val="none"/>
          <w:lang w:val="en-US" w:eastAsia="zh-CN"/>
        </w:rPr>
        <w:t>、NOx、氟化物的最大排放浓度分别为4.6</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8</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26</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lang w:val="en-US" w:eastAsia="zh-CN"/>
        </w:rPr>
        <w:t>2.49</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bCs/>
          <w:color w:val="auto"/>
          <w:sz w:val="24"/>
          <w:szCs w:val="24"/>
          <w:highlight w:val="none"/>
          <w:lang w:val="en-US" w:eastAsia="zh-CN"/>
        </w:rPr>
        <w:t>，最大排放速率分别为0.64kg/h、</w:t>
      </w:r>
      <w:r>
        <w:rPr>
          <w:rFonts w:hint="default" w:ascii="Times New Roman" w:hAnsi="Times New Roman" w:cs="Times New Roman"/>
          <w:b w:val="0"/>
          <w:bCs w:val="0"/>
          <w:color w:val="auto"/>
          <w:sz w:val="24"/>
          <w:szCs w:val="24"/>
          <w:vertAlign w:val="baseline"/>
          <w:lang w:val="en-US" w:eastAsia="zh-CN"/>
        </w:rPr>
        <w:t>1</w:t>
      </w:r>
      <w:r>
        <w:rPr>
          <w:rFonts w:hint="default" w:ascii="Times New Roman" w:hAnsi="Times New Roman" w:eastAsia="宋体" w:cs="Times New Roman"/>
          <w:bCs/>
          <w:color w:val="auto"/>
          <w:sz w:val="24"/>
          <w:szCs w:val="24"/>
          <w:highlight w:val="none"/>
          <w:lang w:val="en-US" w:eastAsia="zh-CN"/>
        </w:rPr>
        <w:t>kg/h、4.2kg/h、0.354kg/h，均满足《区域性大气污染物综合排放标准》（DB37/2376-2019）表1中“一般控制区”标准、</w:t>
      </w:r>
      <w:r>
        <w:rPr>
          <w:rFonts w:hint="eastAsia" w:ascii="Times New Roman" w:hAnsi="Times New Roman" w:eastAsia="宋体" w:cs="Times New Roman"/>
          <w:bCs/>
          <w:color w:val="auto"/>
          <w:sz w:val="24"/>
          <w:szCs w:val="24"/>
          <w:highlight w:val="none"/>
          <w:lang w:val="en-US" w:eastAsia="zh-CN"/>
        </w:rPr>
        <w:t>《建材工业大气污染物排放标准》（DB37/2373-2018）</w:t>
      </w:r>
      <w:r>
        <w:rPr>
          <w:rFonts w:hint="default" w:ascii="Times New Roman" w:hAnsi="Times New Roman" w:eastAsia="宋体" w:cs="Times New Roman"/>
          <w:bCs/>
          <w:color w:val="auto"/>
          <w:sz w:val="24"/>
          <w:szCs w:val="24"/>
          <w:highlight w:val="none"/>
          <w:lang w:val="en-US" w:eastAsia="zh-CN"/>
        </w:rPr>
        <w:t>表2、《砖瓦行业大气污染物排放标准》（GB29620-2013）表2、</w:t>
      </w:r>
      <w:r>
        <w:rPr>
          <w:rFonts w:hint="eastAsia" w:ascii="Times New Roman" w:hAnsi="Times New Roman" w:eastAsia="宋体" w:cs="Times New Roman"/>
          <w:bCs/>
          <w:color w:val="auto"/>
          <w:sz w:val="24"/>
          <w:szCs w:val="24"/>
          <w:highlight w:val="none"/>
          <w:lang w:val="en-US" w:eastAsia="zh-CN"/>
        </w:rPr>
        <w:t>《工业炉窑大气污染物排放标准》（DB37/2375-2019）</w:t>
      </w:r>
      <w:r>
        <w:rPr>
          <w:rFonts w:hint="default" w:ascii="Times New Roman" w:hAnsi="Times New Roman" w:eastAsia="宋体" w:cs="Times New Roman"/>
          <w:bCs/>
          <w:color w:val="auto"/>
          <w:sz w:val="24"/>
          <w:szCs w:val="24"/>
          <w:highlight w:val="none"/>
          <w:lang w:val="en-US" w:eastAsia="zh-CN"/>
        </w:rPr>
        <w:t>及《大气污染物综合排放标准》（GB16297-1996）表2限值要求；</w:t>
      </w:r>
      <w:r>
        <w:rPr>
          <w:rFonts w:hint="default" w:ascii="Times New Roman" w:hAnsi="Times New Roman" w:cs="Times New Roman"/>
          <w:color w:val="auto"/>
          <w:sz w:val="24"/>
          <w:szCs w:val="24"/>
          <w:highlight w:val="none"/>
        </w:rPr>
        <w:t>无组织厂界监控点</w:t>
      </w:r>
      <w:r>
        <w:rPr>
          <w:rFonts w:hint="default" w:ascii="Times New Roman" w:hAnsi="Times New Roman" w:eastAsia="宋体" w:cs="Times New Roman"/>
          <w:color w:val="auto"/>
          <w:sz w:val="24"/>
          <w:szCs w:val="24"/>
          <w:highlight w:val="none"/>
          <w:lang w:eastAsia="zh-CN"/>
        </w:rPr>
        <w:t>颗粒物、</w:t>
      </w:r>
      <w:r>
        <w:rPr>
          <w:rFonts w:hint="default" w:ascii="Times New Roman" w:hAnsi="Times New Roman" w:eastAsia="宋体" w:cs="Times New Roman"/>
          <w:color w:val="auto"/>
          <w:sz w:val="24"/>
          <w:szCs w:val="24"/>
          <w:highlight w:val="none"/>
          <w:lang w:val="en-US" w:eastAsia="zh-CN"/>
        </w:rPr>
        <w:t>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、氟化物</w:t>
      </w:r>
      <w:r>
        <w:rPr>
          <w:rFonts w:hint="default" w:ascii="Times New Roman" w:hAnsi="Times New Roman" w:cs="Times New Roman"/>
          <w:color w:val="auto"/>
          <w:sz w:val="24"/>
          <w:szCs w:val="24"/>
          <w:highlight w:val="none"/>
        </w:rPr>
        <w:t>小时排放浓度最大</w:t>
      </w:r>
      <w:r>
        <w:rPr>
          <w:rFonts w:hint="default" w:ascii="Times New Roman" w:hAnsi="Times New Roman" w:cs="Times New Roman"/>
          <w:color w:val="auto"/>
          <w:sz w:val="24"/>
          <w:szCs w:val="24"/>
          <w:highlight w:val="none"/>
          <w:lang w:eastAsia="zh-CN"/>
        </w:rPr>
        <w:t>分别</w:t>
      </w:r>
      <w:r>
        <w:rPr>
          <w:rFonts w:hint="default" w:ascii="Times New Roman" w:hAnsi="Times New Roman" w:cs="Times New Roman"/>
          <w:color w:val="auto"/>
          <w:sz w:val="24"/>
          <w:szCs w:val="24"/>
          <w:highlight w:val="none"/>
        </w:rPr>
        <w:t>为</w:t>
      </w:r>
      <w:r>
        <w:rPr>
          <w:rFonts w:hint="default" w:ascii="Times New Roman" w:hAnsi="Times New Roman" w:cs="Times New Roman"/>
          <w:color w:val="auto"/>
          <w:sz w:val="24"/>
          <w:szCs w:val="24"/>
          <w:highlight w:val="none"/>
          <w:lang w:val="en-US" w:eastAsia="zh-CN"/>
        </w:rPr>
        <w:t>0.402</w:t>
      </w:r>
      <w:r>
        <w:rPr>
          <w:rFonts w:hint="default" w:ascii="Times New Roman" w:hAnsi="Times New Roman" w:cs="Times New Roman"/>
          <w:color w:val="auto"/>
          <w:sz w:val="24"/>
          <w:szCs w:val="24"/>
          <w:highlight w:val="none"/>
        </w:rPr>
        <w:t>mg/m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0.059</w:t>
      </w:r>
      <w:r>
        <w:rPr>
          <w:rFonts w:hint="default" w:ascii="Times New Roman" w:hAnsi="Times New Roman" w:cs="Times New Roman"/>
          <w:color w:val="auto"/>
          <w:sz w:val="24"/>
          <w:szCs w:val="24"/>
          <w:highlight w:val="none"/>
        </w:rPr>
        <w:t>mg/m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1.4u</w:t>
      </w:r>
      <w:r>
        <w:rPr>
          <w:rFonts w:hint="default" w:ascii="Times New Roman" w:hAnsi="Times New Roman" w:cs="Times New Roman"/>
          <w:color w:val="auto"/>
          <w:sz w:val="24"/>
          <w:szCs w:val="24"/>
          <w:highlight w:val="none"/>
        </w:rPr>
        <w:t>g/m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vertAlign w:val="baseline"/>
          <w:lang w:eastAsia="zh-CN"/>
        </w:rPr>
        <w:t>，</w:t>
      </w:r>
      <w:r>
        <w:rPr>
          <w:rFonts w:hint="default" w:ascii="Times New Roman" w:hAnsi="Times New Roman" w:cs="Times New Roman"/>
          <w:color w:val="auto"/>
          <w:sz w:val="24"/>
          <w:szCs w:val="24"/>
          <w:highlight w:val="none"/>
          <w:lang w:eastAsia="zh-CN"/>
        </w:rPr>
        <w:t>均满足</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大气污染物综合排放标准》（GB16297-1996）中表</w:t>
      </w:r>
      <w:r>
        <w:rPr>
          <w:rFonts w:hint="default" w:ascii="Times New Roman" w:hAnsi="Times New Roman" w:cs="Times New Roman"/>
          <w:color w:val="auto"/>
          <w:sz w:val="24"/>
          <w:szCs w:val="24"/>
          <w:highlight w:val="none"/>
          <w:lang w:val="en-US" w:eastAsia="zh-CN"/>
        </w:rPr>
        <w:t>2标准要求</w:t>
      </w:r>
      <w:r>
        <w:rPr>
          <w:rFonts w:hint="default" w:ascii="Times New Roman" w:hAnsi="Times New Roman" w:eastAsia="宋体" w:cs="Times New Roman"/>
          <w:color w:val="auto"/>
          <w:sz w:val="24"/>
          <w:szCs w:val="24"/>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keepNext w:val="0"/>
        <w:keepLines w:val="0"/>
        <w:pageBreakBefore w:val="0"/>
        <w:kinsoku/>
        <w:wordWrap/>
        <w:overflowPunct/>
        <w:topLinePunct w:val="0"/>
        <w:autoSpaceDE/>
        <w:autoSpaceDN/>
        <w:bidi w:val="0"/>
        <w:adjustRightInd w:val="0"/>
        <w:snapToGrid w:val="0"/>
        <w:spacing w:line="360" w:lineRule="auto"/>
        <w:ind w:left="216" w:leftChars="103"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验收监测期间，厂界昼间噪声测定值在51.6dB~56.3dB之间，夜间噪声测定值在41.7dB~46.7dB之间，厂界昼夜噪声测定值满足《工业企业厂界环境噪声排放标准》（GB 12348-2008）2类标准要求。</w:t>
      </w:r>
    </w:p>
    <w:p>
      <w:pPr>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cs="Times New Roman"/>
          <w:color w:val="auto"/>
          <w:sz w:val="24"/>
          <w:szCs w:val="24"/>
          <w:lang w:eastAsia="zh-CN"/>
        </w:rPr>
      </w:pPr>
      <w:r>
        <w:rPr>
          <w:rFonts w:hint="eastAsia" w:cs="Times New Roman"/>
          <w:color w:val="auto"/>
          <w:sz w:val="24"/>
          <w:szCs w:val="24"/>
          <w:lang w:val="zh-CN" w:eastAsia="zh-CN"/>
        </w:rPr>
        <w:t>同上文三、（四）</w:t>
      </w:r>
      <w:r>
        <w:rPr>
          <w:rFonts w:hint="default" w:cs="Times New Roman"/>
          <w:color w:val="auto"/>
          <w:sz w:val="24"/>
          <w:szCs w:val="24"/>
          <w:lang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cs="Times New Roman"/>
          <w:color w:val="auto"/>
          <w:sz w:val="24"/>
          <w:szCs w:val="24"/>
          <w:lang w:val="zh-CN" w:eastAsia="zh-CN"/>
        </w:rPr>
      </w:pPr>
      <w:r>
        <w:rPr>
          <w:rFonts w:hint="default" w:cs="Times New Roman"/>
          <w:color w:val="auto"/>
          <w:sz w:val="24"/>
          <w:szCs w:val="24"/>
          <w:lang w:val="zh-CN" w:eastAsia="zh-CN"/>
        </w:rPr>
        <w:t>（二）环境管理调查</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rPr>
      </w:pPr>
      <w:r>
        <w:rPr>
          <w:rFonts w:hint="eastAsia" w:cs="Times New Roman"/>
          <w:color w:val="auto"/>
          <w:sz w:val="24"/>
          <w:szCs w:val="24"/>
          <w:lang w:eastAsia="zh-CN"/>
        </w:rPr>
        <w:t>聊城垚金新型节能环保建材有限公司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聊城垚金新型节能环保建材有限公司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五、专家意见：</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在今后企业环保工作中，建议企业落实以下要求</w:t>
      </w:r>
      <w:r>
        <w:rPr>
          <w:rFonts w:hint="eastAsia" w:cs="Times New Roman"/>
          <w:color w:val="auto"/>
          <w:sz w:val="24"/>
          <w:szCs w:val="24"/>
          <w:lang w:eastAsia="zh-CN"/>
        </w:rPr>
        <w:t>：</w:t>
      </w:r>
    </w:p>
    <w:p>
      <w:pPr>
        <w:pStyle w:val="2"/>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洗车平台过小，</w:t>
      </w:r>
      <w:r>
        <w:rPr>
          <w:rFonts w:hint="eastAsia" w:ascii="Times New Roman" w:hAnsi="Times New Roman" w:cs="Times New Roman"/>
          <w:color w:val="auto"/>
          <w:sz w:val="24"/>
          <w:szCs w:val="24"/>
          <w:highlight w:val="none"/>
          <w:lang w:val="en-US" w:eastAsia="zh-CN"/>
        </w:rPr>
        <w:t>须增加</w:t>
      </w:r>
      <w:r>
        <w:rPr>
          <w:rFonts w:hint="eastAsia" w:ascii="Times New Roman" w:hAnsi="Times New Roman" w:eastAsia="宋体" w:cs="Times New Roman"/>
          <w:color w:val="auto"/>
          <w:sz w:val="24"/>
          <w:szCs w:val="24"/>
          <w:highlight w:val="none"/>
          <w:lang w:val="en-US" w:eastAsia="zh-CN"/>
        </w:rPr>
        <w:t>长度；</w:t>
      </w:r>
    </w:p>
    <w:p>
      <w:pPr>
        <w:pStyle w:val="2"/>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及时修补厂区</w:t>
      </w:r>
      <w:r>
        <w:rPr>
          <w:rFonts w:hint="eastAsia" w:ascii="Times New Roman" w:hAnsi="Times New Roman" w:eastAsia="宋体" w:cs="Times New Roman"/>
          <w:color w:val="auto"/>
          <w:sz w:val="24"/>
          <w:szCs w:val="24"/>
          <w:highlight w:val="none"/>
          <w:lang w:val="en-US" w:eastAsia="zh-CN"/>
        </w:rPr>
        <w:t>部分未硬化</w:t>
      </w:r>
      <w:r>
        <w:rPr>
          <w:rFonts w:hint="eastAsia" w:ascii="Times New Roman" w:hAnsi="Times New Roman" w:cs="Times New Roman"/>
          <w:color w:val="auto"/>
          <w:sz w:val="24"/>
          <w:szCs w:val="24"/>
          <w:highlight w:val="none"/>
          <w:lang w:val="en-US" w:eastAsia="zh-CN"/>
        </w:rPr>
        <w:t>的</w:t>
      </w:r>
      <w:r>
        <w:rPr>
          <w:rFonts w:hint="eastAsia" w:ascii="Times New Roman" w:hAnsi="Times New Roman" w:eastAsia="宋体" w:cs="Times New Roman"/>
          <w:color w:val="auto"/>
          <w:sz w:val="24"/>
          <w:szCs w:val="24"/>
          <w:highlight w:val="none"/>
          <w:lang w:val="en-US" w:eastAsia="zh-CN"/>
        </w:rPr>
        <w:t>地面；</w:t>
      </w:r>
    </w:p>
    <w:p>
      <w:pPr>
        <w:pStyle w:val="2"/>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堆场覆盖不全，</w:t>
      </w:r>
      <w:r>
        <w:rPr>
          <w:rFonts w:hint="eastAsia" w:ascii="Times New Roman" w:hAnsi="Times New Roman" w:cs="Times New Roman"/>
          <w:color w:val="auto"/>
          <w:sz w:val="24"/>
          <w:szCs w:val="24"/>
          <w:highlight w:val="none"/>
          <w:lang w:val="en-US" w:eastAsia="zh-CN"/>
        </w:rPr>
        <w:t>提高</w:t>
      </w:r>
      <w:r>
        <w:rPr>
          <w:rFonts w:hint="eastAsia" w:ascii="Times New Roman" w:hAnsi="Times New Roman" w:eastAsia="宋体" w:cs="Times New Roman"/>
          <w:color w:val="auto"/>
          <w:sz w:val="24"/>
          <w:szCs w:val="24"/>
          <w:highlight w:val="none"/>
          <w:lang w:val="en-US" w:eastAsia="zh-CN"/>
        </w:rPr>
        <w:t>堆场周围抑尘网高度；</w:t>
      </w:r>
    </w:p>
    <w:p>
      <w:pPr>
        <w:pStyle w:val="2"/>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车间存在破损，应及时修复；</w:t>
      </w:r>
    </w:p>
    <w:p>
      <w:pPr>
        <w:pStyle w:val="2"/>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车间顶部天窗处应加抑尘网</w:t>
      </w:r>
      <w:r>
        <w:rPr>
          <w:rFonts w:hint="eastAsia" w:ascii="Times New Roman" w:hAnsi="Times New Roman" w:cs="Times New Roman"/>
          <w:color w:val="auto"/>
          <w:sz w:val="24"/>
          <w:szCs w:val="24"/>
          <w:highlight w:val="none"/>
          <w:lang w:val="en-US" w:eastAsia="zh-CN"/>
        </w:rPr>
        <w:t>；</w:t>
      </w:r>
    </w:p>
    <w:p>
      <w:pPr>
        <w:pStyle w:val="2"/>
        <w:keepNext w:val="0"/>
        <w:keepLines w:val="0"/>
        <w:pageBreakBefore w:val="0"/>
        <w:numPr>
          <w:ilvl w:val="0"/>
          <w:numId w:val="5"/>
        </w:numPr>
        <w:kinsoku/>
        <w:wordWrap/>
        <w:overflowPunct/>
        <w:topLinePunct w:val="0"/>
        <w:autoSpaceDE/>
        <w:autoSpaceDN/>
        <w:bidi w:val="0"/>
        <w:adjustRightInd w:val="0"/>
        <w:snapToGrid w:val="0"/>
        <w:spacing w:line="360" w:lineRule="auto"/>
        <w:ind w:left="233" w:leftChars="111" w:firstLine="518" w:firstLineChars="216"/>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按照相关要求完善危废间，补充危废管理制度及台账</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六、</w:t>
      </w:r>
      <w:r>
        <w:rPr>
          <w:rFonts w:hint="default" w:ascii="Times New Roman" w:hAnsi="Times New Roman" w:eastAsia="宋体" w:cs="Times New Roman"/>
          <w:color w:val="auto"/>
          <w:sz w:val="24"/>
          <w:szCs w:val="24"/>
          <w:highlight w:val="none"/>
        </w:rPr>
        <w:t>验收结论</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textAlignment w:val="auto"/>
        <w:rPr>
          <w:rFonts w:hint="eastAsia"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鉴于项目符合国家和地方相关产业标准及准入要求，用地符合当地规划，环保设施与生产配套，验收期间各项监测指标满足国家相关排放标准，</w:t>
      </w:r>
      <w:r>
        <w:rPr>
          <w:rFonts w:hint="eastAsia" w:cs="Times New Roman"/>
          <w:color w:val="auto"/>
          <w:sz w:val="24"/>
          <w:szCs w:val="24"/>
          <w:highlight w:val="none"/>
          <w:lang w:eastAsia="zh-CN"/>
        </w:rPr>
        <w:t>待企业整改完成后方可</w:t>
      </w:r>
      <w:r>
        <w:rPr>
          <w:rFonts w:hint="default" w:ascii="Times New Roman" w:hAnsi="Times New Roman" w:eastAsia="宋体" w:cs="Times New Roman"/>
          <w:color w:val="auto"/>
          <w:sz w:val="24"/>
          <w:szCs w:val="24"/>
          <w:highlight w:val="none"/>
        </w:rPr>
        <w:t>通过环保验收。</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right"/>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聊城垚金新型节能环保建材有限公司</w:t>
      </w:r>
      <w:r>
        <w:rPr>
          <w:rFonts w:hint="default" w:ascii="Times New Roman" w:hAnsi="Times New Roman" w:eastAsia="宋体" w:cs="Times New Roman"/>
          <w:color w:val="auto"/>
          <w:sz w:val="24"/>
          <w:szCs w:val="24"/>
          <w:highlight w:val="none"/>
        </w:rPr>
        <w:t>验收组</w:t>
      </w:r>
    </w:p>
    <w:p>
      <w:pPr>
        <w:keepNext w:val="0"/>
        <w:keepLines w:val="0"/>
        <w:pageBreakBefore w:val="0"/>
        <w:kinsoku/>
        <w:wordWrap/>
        <w:overflowPunct/>
        <w:topLinePunct w:val="0"/>
        <w:autoSpaceDE/>
        <w:autoSpaceDN/>
        <w:bidi w:val="0"/>
        <w:adjustRightInd w:val="0"/>
        <w:snapToGrid w:val="0"/>
        <w:spacing w:line="360" w:lineRule="auto"/>
        <w:ind w:left="233" w:leftChars="111" w:firstLine="518" w:firstLineChars="216"/>
        <w:jc w:val="right"/>
        <w:textAlignment w:val="auto"/>
        <w:rPr>
          <w:rFonts w:hint="default"/>
          <w:lang w:eastAsia="zh-CN"/>
        </w:rPr>
      </w:pPr>
      <w:r>
        <w:rPr>
          <w:rFonts w:hint="default" w:ascii="Times New Roman" w:hAnsi="Times New Roman" w:eastAsia="宋体" w:cs="Times New Roman"/>
          <w:color w:val="auto"/>
          <w:sz w:val="24"/>
          <w:szCs w:val="24"/>
          <w:highlight w:val="none"/>
        </w:rPr>
        <w:t xml:space="preserve">                                </w:t>
      </w:r>
      <w:r>
        <w:rPr>
          <w:rFonts w:hint="eastAsia" w:cs="Times New Roman"/>
          <w:color w:val="auto"/>
          <w:sz w:val="24"/>
          <w:szCs w:val="24"/>
          <w:highlight w:val="none"/>
          <w:lang w:eastAsia="zh-CN"/>
        </w:rPr>
        <w:t>2020年12月20日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71B7388"/>
    <w:rsid w:val="07D23E1C"/>
    <w:rsid w:val="0A775B6C"/>
    <w:rsid w:val="0BB105F9"/>
    <w:rsid w:val="0BCD78E3"/>
    <w:rsid w:val="0BD4352F"/>
    <w:rsid w:val="0D002E61"/>
    <w:rsid w:val="0E9F521D"/>
    <w:rsid w:val="0FE85ED3"/>
    <w:rsid w:val="110D6D4E"/>
    <w:rsid w:val="126A6033"/>
    <w:rsid w:val="129B4442"/>
    <w:rsid w:val="13242E95"/>
    <w:rsid w:val="17073D8B"/>
    <w:rsid w:val="188E6607"/>
    <w:rsid w:val="18D05E89"/>
    <w:rsid w:val="19BD6A9B"/>
    <w:rsid w:val="1A3F7DAE"/>
    <w:rsid w:val="1AAF6CA7"/>
    <w:rsid w:val="1B753DC5"/>
    <w:rsid w:val="1C1262AC"/>
    <w:rsid w:val="1DCD1CD5"/>
    <w:rsid w:val="1DD83AFD"/>
    <w:rsid w:val="1E9D1B02"/>
    <w:rsid w:val="20F95110"/>
    <w:rsid w:val="21E62141"/>
    <w:rsid w:val="23253252"/>
    <w:rsid w:val="24D37795"/>
    <w:rsid w:val="24DD3549"/>
    <w:rsid w:val="27420539"/>
    <w:rsid w:val="27776D4F"/>
    <w:rsid w:val="284C33EF"/>
    <w:rsid w:val="286B6E9D"/>
    <w:rsid w:val="2A636C42"/>
    <w:rsid w:val="2B1967AA"/>
    <w:rsid w:val="2BAC752B"/>
    <w:rsid w:val="2BD129D7"/>
    <w:rsid w:val="2BFB35B9"/>
    <w:rsid w:val="2C8345D6"/>
    <w:rsid w:val="2DE61E9D"/>
    <w:rsid w:val="2E594393"/>
    <w:rsid w:val="2E5F2E3E"/>
    <w:rsid w:val="31572BC2"/>
    <w:rsid w:val="33E80446"/>
    <w:rsid w:val="35A21894"/>
    <w:rsid w:val="35CA7C00"/>
    <w:rsid w:val="371221B6"/>
    <w:rsid w:val="3B2962D5"/>
    <w:rsid w:val="3B9345B4"/>
    <w:rsid w:val="3C495586"/>
    <w:rsid w:val="3C614E95"/>
    <w:rsid w:val="3D216C63"/>
    <w:rsid w:val="3D481CA9"/>
    <w:rsid w:val="3D9A76CF"/>
    <w:rsid w:val="425A3055"/>
    <w:rsid w:val="42D02360"/>
    <w:rsid w:val="42ED0B8D"/>
    <w:rsid w:val="440B2C50"/>
    <w:rsid w:val="45B12AB5"/>
    <w:rsid w:val="467E5AAE"/>
    <w:rsid w:val="49B824E4"/>
    <w:rsid w:val="4BC32318"/>
    <w:rsid w:val="4D966CB6"/>
    <w:rsid w:val="4ED8058F"/>
    <w:rsid w:val="51603323"/>
    <w:rsid w:val="52082039"/>
    <w:rsid w:val="520B1012"/>
    <w:rsid w:val="537E6D51"/>
    <w:rsid w:val="54543AC0"/>
    <w:rsid w:val="556E616E"/>
    <w:rsid w:val="55B466E2"/>
    <w:rsid w:val="56DD1623"/>
    <w:rsid w:val="58D50062"/>
    <w:rsid w:val="5B994AD0"/>
    <w:rsid w:val="5BB97A85"/>
    <w:rsid w:val="5C705EEE"/>
    <w:rsid w:val="5CD21C9F"/>
    <w:rsid w:val="5D580A9C"/>
    <w:rsid w:val="5F0C4CFF"/>
    <w:rsid w:val="5F976D08"/>
    <w:rsid w:val="602A22C2"/>
    <w:rsid w:val="62D0451F"/>
    <w:rsid w:val="631C28B8"/>
    <w:rsid w:val="64C4763E"/>
    <w:rsid w:val="65826A80"/>
    <w:rsid w:val="66FB5067"/>
    <w:rsid w:val="69BB0050"/>
    <w:rsid w:val="6A4209DB"/>
    <w:rsid w:val="6ABA50EB"/>
    <w:rsid w:val="6B8F0525"/>
    <w:rsid w:val="6DEB0CC4"/>
    <w:rsid w:val="6E620EC2"/>
    <w:rsid w:val="72964393"/>
    <w:rsid w:val="72C90F73"/>
    <w:rsid w:val="73223BF6"/>
    <w:rsid w:val="73E11EE4"/>
    <w:rsid w:val="7593546D"/>
    <w:rsid w:val="75C3338A"/>
    <w:rsid w:val="76AB541C"/>
    <w:rsid w:val="76CF4204"/>
    <w:rsid w:val="77930543"/>
    <w:rsid w:val="79A0598C"/>
    <w:rsid w:val="7C9756A0"/>
    <w:rsid w:val="7E132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Plain Text"/>
    <w:basedOn w:val="1"/>
    <w:next w:val="3"/>
    <w:semiHidden/>
    <w:unhideWhenUsed/>
    <w:qFormat/>
    <w:uiPriority w:val="99"/>
    <w:rPr>
      <w:rFonts w:ascii="宋体" w:hAnsi="Courier New" w:cs="Courier New"/>
      <w:szCs w:val="21"/>
    </w:rPr>
  </w:style>
  <w:style w:type="paragraph" w:styleId="3">
    <w:name w:val="Body Text Indent"/>
    <w:basedOn w:val="1"/>
    <w:next w:val="4"/>
    <w:qFormat/>
    <w:uiPriority w:val="0"/>
    <w:pPr>
      <w:ind w:right="-100" w:firstLine="560" w:firstLineChars="200"/>
    </w:pPr>
    <w:rPr>
      <w:sz w:val="28"/>
    </w:rPr>
  </w:style>
  <w:style w:type="paragraph" w:styleId="4">
    <w:name w:val="header"/>
    <w:basedOn w:val="1"/>
    <w:next w:val="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样式5"/>
    <w:basedOn w:val="6"/>
    <w:qFormat/>
    <w:uiPriority w:val="0"/>
    <w:pPr>
      <w:tabs>
        <w:tab w:val="center" w:pos="4153"/>
        <w:tab w:val="right" w:pos="8306"/>
      </w:tabs>
      <w:snapToGrid w:val="0"/>
    </w:pPr>
    <w:rPr>
      <w:rFonts w:ascii="Times New Roman" w:hAnsi="Times New Roman"/>
      <w:sz w:val="18"/>
    </w:rPr>
  </w:style>
  <w:style w:type="paragraph" w:customStyle="1" w:styleId="6">
    <w:name w:val="正文1"/>
    <w:basedOn w:val="1"/>
    <w:next w:val="1"/>
    <w:qFormat/>
    <w:uiPriority w:val="0"/>
    <w:pPr>
      <w:widowControl/>
      <w:spacing w:line="440" w:lineRule="exact"/>
      <w:ind w:firstLine="425"/>
    </w:pPr>
    <w:rPr>
      <w:rFonts w:ascii="宋体" w:hAnsi="宋体"/>
      <w:color w:val="000000"/>
      <w:sz w:val="24"/>
      <w:szCs w:val="24"/>
    </w:rPr>
  </w:style>
  <w:style w:type="paragraph" w:styleId="7">
    <w:name w:val="annotation text"/>
    <w:basedOn w:val="1"/>
    <w:semiHidden/>
    <w:unhideWhenUsed/>
    <w:qFormat/>
    <w:uiPriority w:val="99"/>
    <w:pPr>
      <w:jc w:val="left"/>
    </w:pPr>
  </w:style>
  <w:style w:type="paragraph" w:styleId="8">
    <w:name w:val="Body Text"/>
    <w:basedOn w:val="1"/>
    <w:next w:val="9"/>
    <w:qFormat/>
    <w:uiPriority w:val="0"/>
    <w:pPr>
      <w:spacing w:after="120"/>
    </w:pPr>
  </w:style>
  <w:style w:type="paragraph" w:styleId="9">
    <w:name w:val="Date"/>
    <w:basedOn w:val="1"/>
    <w:next w:val="1"/>
    <w:qFormat/>
    <w:uiPriority w:val="0"/>
    <w:pPr>
      <w:ind w:left="100" w:leftChars="2500"/>
    </w:pPr>
    <w:rPr>
      <w:rFonts w:ascii="宋体" w:hAnsi="宋体"/>
      <w:szCs w:val="24"/>
    </w:rPr>
  </w:style>
  <w:style w:type="paragraph" w:styleId="10">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Body Text First Indent"/>
    <w:basedOn w:val="8"/>
    <w:qFormat/>
    <w:uiPriority w:val="0"/>
    <w:pPr>
      <w:ind w:firstLine="420" w:firstLineChars="100"/>
    </w:pPr>
    <w:rPr>
      <w:szCs w:val="2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li_正文"/>
    <w:basedOn w:val="1"/>
    <w:qFormat/>
    <w:uiPriority w:val="0"/>
    <w:pPr>
      <w:ind w:firstLine="200" w:firstLineChars="200"/>
      <w:jc w:val="left"/>
    </w:pPr>
    <w:rPr>
      <w:rFonts w:ascii="Calibri" w:hAnsi="Calibri" w:eastAsia="宋体" w:cs="Times New Roman"/>
      <w:sz w:val="28"/>
      <w:szCs w:val="28"/>
    </w:rPr>
  </w:style>
  <w:style w:type="paragraph" w:styleId="17">
    <w:name w:val="List Paragraph"/>
    <w:basedOn w:val="1"/>
    <w:qFormat/>
    <w:uiPriority w:val="99"/>
    <w:pPr>
      <w:ind w:firstLine="420" w:firstLineChars="200"/>
    </w:p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2128</Words>
  <Characters>2317</Characters>
  <Lines>0</Lines>
  <Paragraphs>0</Paragraphs>
  <TotalTime>7</TotalTime>
  <ScaleCrop>false</ScaleCrop>
  <LinksUpToDate>false</LinksUpToDate>
  <CharactersWithSpaces>2353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2021-06-22T07:41:37Z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91DE6736D2534F9A9C16B610DAF8F981</vt:lpwstr>
  </property>
</Properties>
</file>