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聊城昊越镁林物资有限公司年加工八千套金属包装整理项目（一期）</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2021年10月24日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聊城昊越镁林物资有限公司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年加工八千套金属包装整理项目（一期）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聊城昊越镁林物资有限公司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7"/>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聊城昊越镁林物资有限公司位于山东省聊城市高新区许营镇五排刘村西700米聊滑路北临2号车间。项目预计总投资300万元，占地面积3600m</w:t>
      </w:r>
      <w:bookmarkStart w:id="0" w:name="_GoBack"/>
      <w:r>
        <w:rPr>
          <w:rFonts w:hint="default" w:ascii="Times New Roman" w:hAnsi="Times New Roman" w:eastAsia="宋体" w:cs="Times New Roman"/>
          <w:color w:val="auto"/>
          <w:sz w:val="24"/>
          <w:szCs w:val="24"/>
          <w:vertAlign w:val="superscript"/>
          <w:lang w:eastAsia="zh-CN"/>
        </w:rPr>
        <w:t>2</w:t>
      </w:r>
      <w:bookmarkEnd w:id="0"/>
      <w:r>
        <w:rPr>
          <w:rFonts w:hint="default" w:ascii="Times New Roman" w:hAnsi="Times New Roman" w:eastAsia="宋体" w:cs="Times New Roman"/>
          <w:color w:val="auto"/>
          <w:sz w:val="24"/>
          <w:szCs w:val="24"/>
          <w:lang w:eastAsia="zh-CN"/>
        </w:rPr>
        <w:t>，租赁闲置车间建设年加工八千套金属包装整理项目。由于企业资金问题，项目实际投资220万元，生产规模为年产喷漆管件4000套，项目分期验收，本次验收为一期。</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新建项目。2019年9月聊城昊越镁林物资有限公司委托江苏苏辰勘察设计研究院有限公司编制了《聊城昊越镁林物资有限公司年加工八千套金属包装整理项目环境影响报告表》，2019年10月22日聊城市生态环境局高新技术产业开发区分局以聊高新环报告表〔2019〕30号对其进行了审批。2021年8月公司委托山东聊和环保科技有限公司进行本项目的环保验收监测工作，接受委托后山东聊和环保科技有限公司组织有关技术人员进行现场踏勘，依据监测技术规范制定了环保验收一期监测方案，并于2021年10月08日-09日对该企业进行了验收一期监测，根据验收监测结果和现场检查情况编制了本项目一期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220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35</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15.91</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的范围为</w:t>
      </w:r>
      <w:r>
        <w:rPr>
          <w:rFonts w:hint="eastAsia" w:cs="Times New Roman"/>
          <w:color w:val="auto"/>
          <w:sz w:val="24"/>
          <w:szCs w:val="24"/>
          <w:lang w:val="en-US" w:eastAsia="zh-CN"/>
        </w:rPr>
        <w:t>年产喷漆管件4000套</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①由于企业资金问题，项目生产规模仅为年产喷漆管件4000套，项目分期验收，本次验收为一期。</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②项目一期仅包含喷漆管件生产线，且不包含焊接工序，实际购置设备比环评设计数量少，未影响综合产能。</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③本项目除锈工序产生的颗粒物由环评及批复意见设计的无组织排放改为收集至布袋除尘器后经15米高的排气筒有组织排放。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根据《关于印发污染影响类建设项目重大变动清单（试行）的通知》环办环评函〔2020〕688号，本项目以上变动不涉及重大变动。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本项目一期废水主要为生活污水，生活污水排入化粪池，定期清掏不外排</w:t>
      </w:r>
      <w:r>
        <w:rPr>
          <w:rFonts w:hint="default" w:ascii="Times New Roman" w:hAnsi="Times New Roman" w:eastAsia="宋体" w:cs="Times New Roman"/>
          <w:color w:val="auto"/>
          <w:kern w:val="2"/>
          <w:sz w:val="24"/>
          <w:szCs w:val="24"/>
          <w:lang w:val="en-US" w:eastAsia="zh-CN" w:bidi="ar-SA"/>
        </w:rPr>
        <w:t>。</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切割、除锈工序产生的颗粒物、喷漆工序产生的漆雾及有机废气，油漆存放挥发的有机废气。钢管切割下料过程产生的金属粉尘主要为铁屑，且粒径较大，难以悬浮于空气中，一般于生产设备周围迅速沉降，收集后外售回收单位，对环境空气影响甚微；除锈工序产生的颗粒物收集至布袋除尘器后经15米高的排气筒P1排放；喷漆工序上方设置集气罩，将产生的废气收集至过滤棉+“吸附+脱附”装置+催化燃烧装置处理后经15米高的排气筒P2排放；油漆存放间废气通过管道收集至过滤棉+“吸附+脱附”装置+催化燃烧装置处理后经15米高的排气筒P2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未被收集的废气经车间通风后无组织排放。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本项目主要噪声源设备为抛丸机、数控切割机、空气压缩机等设备运行时产生的噪声。通过基础减振、距离衰减等综合控制等措施，降低对外环境的影响。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本项目固废主要为钢管切割下料过程产生的金属边角料、废漆渣、废漆桶、废稀释剂桶、废过滤棉、废活性炭、设备维护过程产生的含油抹布以及职工生活垃圾。</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钢管切割下料过程产生的金属边角料统一收集后外售；水性漆桶由厂家回收。废漆渣、废油漆桶、废稀释剂桶、废过滤棉、废活性炭属于危险废物，产生后在厂内危废暂存间暂存，定期交由有资质单位（聊城市舒达再生资源回收有限公司）进行处置。含油抹布混入生活垃圾统一收集后由环卫部门统一清运处理。</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聊城昊越镁林物资有限公司年加工八千套金属包装整理项目（一期）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ascii="Times New Roman" w:hAnsi="Times New Roman" w:eastAsia="宋体"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cs="Times New Roman"/>
          <w:color w:val="auto"/>
          <w:sz w:val="24"/>
          <w:szCs w:val="24"/>
          <w:lang w:val="en-US" w:eastAsia="zh-CN"/>
        </w:rPr>
      </w:pPr>
      <w:r>
        <w:rPr>
          <w:rFonts w:hint="default" w:cs="Times New Roman"/>
          <w:color w:val="auto"/>
          <w:sz w:val="24"/>
          <w:szCs w:val="24"/>
          <w:lang w:val="en-US" w:eastAsia="zh-CN"/>
        </w:rPr>
        <w:t>验收监测期间，有组织苯最高排放浓度为0.</w:t>
      </w:r>
      <w:r>
        <w:rPr>
          <w:rFonts w:hint="eastAsia" w:cs="Times New Roman"/>
          <w:color w:val="auto"/>
          <w:sz w:val="24"/>
          <w:szCs w:val="24"/>
          <w:lang w:val="en-US" w:eastAsia="zh-CN"/>
        </w:rPr>
        <w:t>153</w:t>
      </w:r>
      <w:r>
        <w:rPr>
          <w:rFonts w:hint="default" w:cs="Times New Roman"/>
          <w:color w:val="auto"/>
          <w:sz w:val="24"/>
          <w:szCs w:val="24"/>
          <w:lang w:val="en-US" w:eastAsia="zh-CN"/>
        </w:rPr>
        <w:t>mg/m</w:t>
      </w:r>
      <w:r>
        <w:rPr>
          <w:rFonts w:hint="default" w:cs="Times New Roman"/>
          <w:color w:val="auto"/>
          <w:sz w:val="24"/>
          <w:szCs w:val="24"/>
          <w:vertAlign w:val="superscript"/>
          <w:lang w:val="en-US" w:eastAsia="zh-CN"/>
        </w:rPr>
        <w:t>3</w:t>
      </w:r>
      <w:r>
        <w:rPr>
          <w:rFonts w:hint="default" w:cs="Times New Roman"/>
          <w:color w:val="auto"/>
          <w:sz w:val="24"/>
          <w:szCs w:val="24"/>
          <w:lang w:val="en-US" w:eastAsia="zh-CN"/>
        </w:rPr>
        <w:t>，排放速率最高为1.11×10</w:t>
      </w:r>
      <w:r>
        <w:rPr>
          <w:rFonts w:hint="default" w:cs="Times New Roman"/>
          <w:color w:val="auto"/>
          <w:sz w:val="24"/>
          <w:szCs w:val="24"/>
          <w:vertAlign w:val="superscript"/>
          <w:lang w:val="en-US" w:eastAsia="zh-CN"/>
        </w:rPr>
        <w:t>-3</w:t>
      </w:r>
      <w:r>
        <w:rPr>
          <w:rFonts w:hint="default" w:cs="Times New Roman"/>
          <w:color w:val="auto"/>
          <w:sz w:val="24"/>
          <w:szCs w:val="24"/>
          <w:lang w:val="en-US" w:eastAsia="zh-CN"/>
        </w:rPr>
        <w:t>kg/h；</w:t>
      </w:r>
      <w:r>
        <w:rPr>
          <w:rFonts w:hint="eastAsia" w:cs="Times New Roman"/>
          <w:color w:val="auto"/>
          <w:sz w:val="24"/>
          <w:szCs w:val="24"/>
          <w:lang w:val="en-US" w:eastAsia="zh-CN"/>
        </w:rPr>
        <w:t>甲苯、</w:t>
      </w:r>
      <w:r>
        <w:rPr>
          <w:rFonts w:hint="default" w:cs="Times New Roman"/>
          <w:color w:val="auto"/>
          <w:sz w:val="24"/>
          <w:szCs w:val="24"/>
          <w:lang w:val="en-US" w:eastAsia="zh-CN"/>
        </w:rPr>
        <w:t>二甲苯</w:t>
      </w:r>
      <w:r>
        <w:rPr>
          <w:rFonts w:hint="eastAsia" w:cs="Times New Roman"/>
          <w:color w:val="auto"/>
          <w:sz w:val="24"/>
          <w:szCs w:val="24"/>
          <w:lang w:val="en-US" w:eastAsia="zh-CN"/>
        </w:rPr>
        <w:t>均未检出</w:t>
      </w:r>
      <w:r>
        <w:rPr>
          <w:rFonts w:hint="default" w:cs="Times New Roman"/>
          <w:color w:val="auto"/>
          <w:sz w:val="24"/>
          <w:szCs w:val="24"/>
          <w:lang w:val="en-US" w:eastAsia="zh-CN"/>
        </w:rPr>
        <w:t>；</w:t>
      </w:r>
      <w:r>
        <w:rPr>
          <w:rFonts w:hint="eastAsia" w:cs="Times New Roman"/>
          <w:color w:val="auto"/>
          <w:sz w:val="24"/>
          <w:szCs w:val="24"/>
          <w:lang w:val="en-US" w:eastAsia="zh-CN"/>
        </w:rPr>
        <w:t>VOCs</w:t>
      </w:r>
      <w:r>
        <w:rPr>
          <w:rFonts w:hint="default" w:cs="Times New Roman"/>
          <w:color w:val="auto"/>
          <w:sz w:val="24"/>
          <w:szCs w:val="24"/>
          <w:lang w:val="en-US" w:eastAsia="zh-CN"/>
        </w:rPr>
        <w:t>最高排放浓度为</w:t>
      </w:r>
      <w:r>
        <w:rPr>
          <w:rFonts w:hint="eastAsia" w:cs="Times New Roman"/>
          <w:color w:val="auto"/>
          <w:sz w:val="24"/>
          <w:szCs w:val="24"/>
          <w:lang w:val="en-US" w:eastAsia="zh-CN"/>
        </w:rPr>
        <w:t>0.50</w:t>
      </w:r>
      <w:r>
        <w:rPr>
          <w:rFonts w:hint="default" w:cs="Times New Roman"/>
          <w:color w:val="auto"/>
          <w:sz w:val="24"/>
          <w:szCs w:val="24"/>
          <w:lang w:val="en-US" w:eastAsia="zh-CN"/>
        </w:rPr>
        <w:t>mg/m</w:t>
      </w:r>
      <w:r>
        <w:rPr>
          <w:rFonts w:hint="default" w:cs="Times New Roman"/>
          <w:color w:val="auto"/>
          <w:sz w:val="24"/>
          <w:szCs w:val="24"/>
          <w:vertAlign w:val="superscript"/>
          <w:lang w:val="en-US" w:eastAsia="zh-CN"/>
        </w:rPr>
        <w:t>3</w:t>
      </w:r>
      <w:r>
        <w:rPr>
          <w:rFonts w:hint="default" w:cs="Times New Roman"/>
          <w:color w:val="auto"/>
          <w:sz w:val="24"/>
          <w:szCs w:val="24"/>
          <w:lang w:val="en-US" w:eastAsia="zh-CN"/>
        </w:rPr>
        <w:t>，排放速率最高为</w:t>
      </w:r>
      <w:r>
        <w:rPr>
          <w:rFonts w:hint="eastAsia" w:cs="Times New Roman"/>
          <w:color w:val="auto"/>
          <w:sz w:val="24"/>
          <w:szCs w:val="24"/>
          <w:lang w:val="en-US" w:eastAsia="zh-CN"/>
        </w:rPr>
        <w:t>3.7</w:t>
      </w:r>
      <w:r>
        <w:rPr>
          <w:rFonts w:hint="default" w:cs="Times New Roman"/>
          <w:color w:val="auto"/>
          <w:sz w:val="24"/>
          <w:szCs w:val="24"/>
          <w:lang w:val="en-US" w:eastAsia="zh-CN"/>
        </w:rPr>
        <w:t>×10</w:t>
      </w:r>
      <w:r>
        <w:rPr>
          <w:rFonts w:hint="default" w:cs="Times New Roman"/>
          <w:color w:val="auto"/>
          <w:sz w:val="24"/>
          <w:szCs w:val="24"/>
          <w:vertAlign w:val="superscript"/>
          <w:lang w:val="en-US" w:eastAsia="zh-CN"/>
        </w:rPr>
        <w:t>-</w:t>
      </w:r>
      <w:r>
        <w:rPr>
          <w:rFonts w:hint="eastAsia" w:cs="Times New Roman"/>
          <w:color w:val="auto"/>
          <w:sz w:val="24"/>
          <w:szCs w:val="24"/>
          <w:vertAlign w:val="superscript"/>
          <w:lang w:val="en-US" w:eastAsia="zh-CN"/>
        </w:rPr>
        <w:t>3</w:t>
      </w:r>
      <w:r>
        <w:rPr>
          <w:rFonts w:hint="default" w:cs="Times New Roman"/>
          <w:color w:val="auto"/>
          <w:sz w:val="24"/>
          <w:szCs w:val="24"/>
          <w:lang w:val="en-US" w:eastAsia="zh-CN"/>
        </w:rPr>
        <w:t>kg/h，均满足</w:t>
      </w:r>
      <w:r>
        <w:rPr>
          <w:rFonts w:hint="eastAsia" w:cs="Times New Roman"/>
          <w:color w:val="auto"/>
          <w:sz w:val="24"/>
          <w:szCs w:val="24"/>
          <w:lang w:val="en-US" w:eastAsia="zh-CN"/>
        </w:rPr>
        <w:t>《挥发性有机物排放标准 第5部分：表面涂装行业》表2</w:t>
      </w:r>
      <w:r>
        <w:rPr>
          <w:rFonts w:hint="default" w:cs="Times New Roman"/>
          <w:color w:val="auto"/>
          <w:sz w:val="24"/>
          <w:szCs w:val="24"/>
          <w:lang w:val="en-US" w:eastAsia="zh-CN"/>
        </w:rPr>
        <w:t>标准要求。</w:t>
      </w:r>
      <w:r>
        <w:rPr>
          <w:rFonts w:hint="eastAsia" w:cs="Times New Roman"/>
          <w:color w:val="auto"/>
          <w:sz w:val="24"/>
          <w:szCs w:val="24"/>
          <w:lang w:val="en-US" w:eastAsia="zh-CN"/>
        </w:rPr>
        <w:t>有组织颗粒物</w:t>
      </w:r>
      <w:r>
        <w:rPr>
          <w:rFonts w:hint="default" w:cs="Times New Roman"/>
          <w:color w:val="auto"/>
          <w:sz w:val="24"/>
          <w:szCs w:val="24"/>
          <w:lang w:val="en-US" w:eastAsia="zh-CN"/>
        </w:rPr>
        <w:t>最高排放浓度为</w:t>
      </w:r>
      <w:r>
        <w:rPr>
          <w:rFonts w:hint="eastAsia" w:cs="Times New Roman"/>
          <w:color w:val="auto"/>
          <w:sz w:val="24"/>
          <w:szCs w:val="24"/>
          <w:lang w:val="en-US" w:eastAsia="zh-CN"/>
        </w:rPr>
        <w:t>9.1</w:t>
      </w:r>
      <w:r>
        <w:rPr>
          <w:rFonts w:hint="default" w:cs="Times New Roman"/>
          <w:color w:val="auto"/>
          <w:sz w:val="24"/>
          <w:szCs w:val="24"/>
          <w:lang w:val="en-US" w:eastAsia="zh-CN"/>
        </w:rPr>
        <w:t>mg/m</w:t>
      </w:r>
      <w:r>
        <w:rPr>
          <w:rFonts w:hint="default" w:cs="Times New Roman"/>
          <w:color w:val="auto"/>
          <w:sz w:val="24"/>
          <w:szCs w:val="24"/>
          <w:vertAlign w:val="superscript"/>
          <w:lang w:val="en-US" w:eastAsia="zh-CN"/>
        </w:rPr>
        <w:t>3</w:t>
      </w:r>
      <w:r>
        <w:rPr>
          <w:rFonts w:hint="default" w:cs="Times New Roman"/>
          <w:color w:val="auto"/>
          <w:sz w:val="24"/>
          <w:szCs w:val="24"/>
          <w:lang w:val="en-US" w:eastAsia="zh-CN"/>
        </w:rPr>
        <w:t>，排放速率最高为</w:t>
      </w:r>
      <w:r>
        <w:rPr>
          <w:rFonts w:hint="eastAsia" w:cs="Times New Roman"/>
          <w:color w:val="auto"/>
          <w:sz w:val="24"/>
          <w:szCs w:val="24"/>
          <w:lang w:val="en-US" w:eastAsia="zh-CN"/>
        </w:rPr>
        <w:t>0.11</w:t>
      </w:r>
      <w:r>
        <w:rPr>
          <w:rFonts w:hint="default" w:cs="Times New Roman"/>
          <w:color w:val="auto"/>
          <w:sz w:val="24"/>
          <w:szCs w:val="24"/>
          <w:lang w:val="en-US" w:eastAsia="zh-CN"/>
        </w:rPr>
        <w:t>kg/h，</w:t>
      </w:r>
      <w:r>
        <w:rPr>
          <w:rFonts w:hint="eastAsia" w:cs="Times New Roman"/>
          <w:color w:val="auto"/>
          <w:sz w:val="24"/>
          <w:szCs w:val="24"/>
          <w:lang w:val="en-US" w:eastAsia="zh-CN"/>
        </w:rPr>
        <w:t>满足《区域性大气污染物综合排放标准》（DB37/2376-2019）中表1中“一般控制区”标准以及《大气污染物综合排放标准》（GB16297-1996）表2二级标准。无组织颗粒物</w:t>
      </w:r>
      <w:r>
        <w:rPr>
          <w:rFonts w:hint="default" w:cs="Times New Roman"/>
          <w:color w:val="auto"/>
          <w:sz w:val="24"/>
          <w:szCs w:val="24"/>
          <w:lang w:val="en-US" w:eastAsia="zh-CN"/>
        </w:rPr>
        <w:t>小时浓度最高为</w:t>
      </w:r>
      <w:r>
        <w:rPr>
          <w:rFonts w:hint="eastAsia" w:cs="Times New Roman"/>
          <w:color w:val="auto"/>
          <w:sz w:val="24"/>
          <w:szCs w:val="24"/>
          <w:lang w:val="en-US" w:eastAsia="zh-CN"/>
        </w:rPr>
        <w:t>0.212mg/m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，满足《大气污染物综合排放标准》表2中无组织监控浓度限值。</w:t>
      </w:r>
      <w:r>
        <w:rPr>
          <w:rFonts w:hint="default" w:cs="Times New Roman"/>
          <w:color w:val="auto"/>
          <w:sz w:val="24"/>
          <w:szCs w:val="24"/>
          <w:lang w:val="en-US" w:eastAsia="zh-CN"/>
        </w:rPr>
        <w:t>无组织苯</w:t>
      </w:r>
      <w:r>
        <w:rPr>
          <w:rFonts w:hint="eastAsia" w:cs="Times New Roman"/>
          <w:color w:val="auto"/>
          <w:sz w:val="24"/>
          <w:szCs w:val="24"/>
          <w:lang w:val="en-US" w:eastAsia="zh-CN"/>
        </w:rPr>
        <w:t>、</w:t>
      </w:r>
      <w:r>
        <w:rPr>
          <w:rFonts w:hint="default" w:cs="Times New Roman"/>
          <w:color w:val="auto"/>
          <w:sz w:val="24"/>
          <w:szCs w:val="24"/>
          <w:lang w:val="en-US" w:eastAsia="zh-CN"/>
        </w:rPr>
        <w:t>甲苯</w:t>
      </w:r>
      <w:r>
        <w:rPr>
          <w:rFonts w:hint="eastAsia" w:cs="Times New Roman"/>
          <w:color w:val="auto"/>
          <w:sz w:val="24"/>
          <w:szCs w:val="24"/>
          <w:lang w:val="en-US" w:eastAsia="zh-CN"/>
        </w:rPr>
        <w:t>、</w:t>
      </w:r>
      <w:r>
        <w:rPr>
          <w:rFonts w:hint="default" w:cs="Times New Roman"/>
          <w:color w:val="auto"/>
          <w:sz w:val="24"/>
          <w:szCs w:val="24"/>
          <w:lang w:val="en-US" w:eastAsia="zh-CN"/>
        </w:rPr>
        <w:t>二甲苯</w:t>
      </w:r>
      <w:r>
        <w:rPr>
          <w:rFonts w:hint="eastAsia" w:cs="Times New Roman"/>
          <w:color w:val="auto"/>
          <w:sz w:val="24"/>
          <w:szCs w:val="24"/>
          <w:lang w:val="en-US" w:eastAsia="zh-CN"/>
        </w:rPr>
        <w:t>均未检出</w:t>
      </w:r>
      <w:r>
        <w:rPr>
          <w:rFonts w:hint="default" w:cs="Times New Roman"/>
          <w:color w:val="auto"/>
          <w:sz w:val="24"/>
          <w:szCs w:val="24"/>
          <w:lang w:val="en-US" w:eastAsia="zh-CN"/>
        </w:rPr>
        <w:t>，</w:t>
      </w:r>
      <w:r>
        <w:rPr>
          <w:rFonts w:hint="eastAsia" w:cs="Times New Roman"/>
          <w:color w:val="auto"/>
          <w:sz w:val="24"/>
          <w:szCs w:val="24"/>
          <w:lang w:val="en-US" w:eastAsia="zh-CN"/>
        </w:rPr>
        <w:t>VOCs</w:t>
      </w:r>
      <w:r>
        <w:rPr>
          <w:rFonts w:hint="default" w:cs="Times New Roman"/>
          <w:color w:val="auto"/>
          <w:sz w:val="24"/>
          <w:szCs w:val="24"/>
          <w:lang w:val="en-US" w:eastAsia="zh-CN"/>
        </w:rPr>
        <w:t>小时浓度最高为</w:t>
      </w:r>
      <w:r>
        <w:rPr>
          <w:rFonts w:hint="eastAsia" w:cs="Times New Roman"/>
          <w:color w:val="auto"/>
          <w:sz w:val="24"/>
          <w:szCs w:val="24"/>
          <w:lang w:val="en-US" w:eastAsia="zh-CN"/>
        </w:rPr>
        <w:t>0.29m</w:t>
      </w:r>
      <w:r>
        <w:rPr>
          <w:rFonts w:hint="default" w:cs="Times New Roman"/>
          <w:color w:val="auto"/>
          <w:sz w:val="24"/>
          <w:szCs w:val="24"/>
          <w:lang w:val="en-US" w:eastAsia="zh-CN"/>
        </w:rPr>
        <w:t>g/m</w:t>
      </w:r>
      <w:r>
        <w:rPr>
          <w:rFonts w:hint="default" w:cs="Times New Roman"/>
          <w:color w:val="auto"/>
          <w:sz w:val="24"/>
          <w:szCs w:val="24"/>
          <w:vertAlign w:val="superscript"/>
          <w:lang w:val="en-US" w:eastAsia="zh-CN"/>
        </w:rPr>
        <w:t>3</w:t>
      </w:r>
      <w:r>
        <w:rPr>
          <w:rFonts w:hint="default" w:cs="Times New Roman"/>
          <w:color w:val="auto"/>
          <w:sz w:val="24"/>
          <w:szCs w:val="24"/>
          <w:lang w:val="en-US" w:eastAsia="zh-CN"/>
        </w:rPr>
        <w:t>，</w:t>
      </w:r>
      <w:r>
        <w:rPr>
          <w:rFonts w:hint="eastAsia" w:cs="Times New Roman"/>
          <w:color w:val="auto"/>
          <w:sz w:val="24"/>
          <w:szCs w:val="24"/>
          <w:lang w:val="en-US" w:eastAsia="zh-CN"/>
        </w:rPr>
        <w:t>均</w:t>
      </w:r>
      <w:r>
        <w:rPr>
          <w:rFonts w:hint="default" w:cs="Times New Roman"/>
          <w:color w:val="auto"/>
          <w:sz w:val="24"/>
          <w:szCs w:val="24"/>
          <w:lang w:val="en-US" w:eastAsia="zh-CN"/>
        </w:rPr>
        <w:t>满足</w:t>
      </w:r>
      <w:r>
        <w:rPr>
          <w:rFonts w:hint="eastAsia" w:cs="Times New Roman"/>
          <w:color w:val="auto"/>
          <w:sz w:val="24"/>
          <w:szCs w:val="24"/>
          <w:lang w:val="en-US" w:eastAsia="zh-CN"/>
        </w:rPr>
        <w:t>《挥发性有机物排放标准 第5部分：表面涂装行业》表3</w:t>
      </w:r>
      <w:r>
        <w:rPr>
          <w:rFonts w:hint="default" w:cs="Times New Roman"/>
          <w:color w:val="auto"/>
          <w:sz w:val="24"/>
          <w:szCs w:val="24"/>
          <w:lang w:val="en-US" w:eastAsia="zh-CN"/>
        </w:rPr>
        <w:t>标准要求</w:t>
      </w:r>
      <w:r>
        <w:rPr>
          <w:rFonts w:hint="eastAsia" w:cs="Times New Roman"/>
          <w:color w:val="auto"/>
          <w:sz w:val="24"/>
          <w:szCs w:val="24"/>
          <w:lang w:val="en-US" w:eastAsia="zh-CN"/>
        </w:rPr>
        <w:t>。</w:t>
      </w:r>
    </w:p>
    <w:p>
      <w:pPr>
        <w:spacing w:line="360" w:lineRule="auto"/>
        <w:ind w:left="233" w:leftChars="111" w:firstLine="518" w:firstLineChars="216"/>
        <w:rPr>
          <w:rFonts w:hint="default" w:cs="Times New Roman"/>
          <w:color w:val="auto"/>
          <w:sz w:val="24"/>
          <w:szCs w:val="24"/>
          <w:lang w:val="en-US" w:eastAsia="zh-CN"/>
        </w:rPr>
      </w:pPr>
      <w:r>
        <w:rPr>
          <w:rFonts w:hint="eastAsia" w:cs="Times New Roman"/>
          <w:color w:val="auto"/>
          <w:sz w:val="24"/>
          <w:szCs w:val="24"/>
          <w:lang w:val="en-US" w:eastAsia="zh-CN"/>
        </w:rPr>
        <w:t>总量控制：根据《聊城昊越镁林物资有限公司年加工八千套金属包装整理项目环境影响报告表》要求，本项目VOCs排放总量控制指标为0.1555t/a。根据本项目监测结果折算为满负荷运行状态下，本项目VOCs排放总量为0.00925t/a，不超过总量控制指标</w:t>
      </w:r>
      <w:r>
        <w:rPr>
          <w:rFonts w:hint="default"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验收监测期间，监测点位昼间噪声在54.9-57.6(dB)之间，夜间不生产，符合《工业企业厂界环境噪声排放标准》（GB12348－2008）中的2类标准限值。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聊城昊越镁林物资有限公司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聊城昊越镁林物资有限公司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五、工程建设对环境的影响</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项目建设进行了环境影响评价，基本落实了环境影响评价文件及其批复要求。验收监测期间，项目产生的废气、噪声能够达标排放，</w:t>
      </w:r>
      <w:r>
        <w:rPr>
          <w:rFonts w:hint="eastAsia" w:ascii="Times New Roman" w:hAnsi="Times New Roman" w:eastAsia="宋体" w:cs="Times New Roman"/>
          <w:color w:val="auto"/>
          <w:sz w:val="24"/>
          <w:szCs w:val="24"/>
          <w:lang w:val="en-US" w:eastAsia="zh-CN"/>
        </w:rPr>
        <w:t>废水、</w:t>
      </w:r>
      <w:r>
        <w:rPr>
          <w:rFonts w:hint="default" w:ascii="Times New Roman" w:hAnsi="Times New Roman" w:eastAsia="宋体" w:cs="Times New Roman"/>
          <w:color w:val="auto"/>
          <w:sz w:val="24"/>
          <w:szCs w:val="24"/>
        </w:rPr>
        <w:t>固体废物能够得到妥善处理。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聊城昊越镁林物资有限公司年加工八千套金属包装整理项目</w:t>
      </w:r>
      <w:r>
        <w:rPr>
          <w:rFonts w:hint="eastAsia" w:ascii="Times New Roman" w:hAnsi="Times New Roman" w:eastAsia="宋体" w:cs="Times New Roman"/>
          <w:color w:val="auto"/>
          <w:sz w:val="24"/>
          <w:szCs w:val="24"/>
          <w:lang w:val="en-US" w:eastAsia="zh-CN"/>
        </w:rPr>
        <w:t>（一期）</w:t>
      </w:r>
      <w:r>
        <w:rPr>
          <w:rFonts w:hint="default" w:ascii="Times New Roman" w:hAnsi="Times New Roman" w:eastAsia="宋体" w:cs="Times New Roman"/>
          <w:color w:val="auto"/>
          <w:sz w:val="24"/>
          <w:szCs w:val="24"/>
        </w:rPr>
        <w:t>实施过程中按照环评及其批复要求落实了相关环保措施，项目建设过程未发生重大变动；验收监测的污染物排放达到国家相关排放标准，验收报告不存在重大质量缺陷。</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鉴于项目基本符合验收条件，不存在《建设项目竣工环境保护验收暂行办法》中所规定的验收不合格情形，验收组原则上同意该项目通过环保验收。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七、后续要求</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1、可移动式喷漆间下方离地面距离较大，须进一步密闭，保证废气收集效率。</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油漆存放场所密闭性不足，须进一步密闭。</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3、</w:t>
      </w:r>
      <w:r>
        <w:rPr>
          <w:rFonts w:hint="eastAsia" w:cs="Times New Roman"/>
          <w:color w:val="auto"/>
          <w:kern w:val="2"/>
          <w:sz w:val="24"/>
          <w:szCs w:val="24"/>
          <w:lang w:val="en-US" w:eastAsia="zh-CN" w:bidi="ar-SA"/>
        </w:rPr>
        <w:t>规范存放原料、产品以及下脚料，</w:t>
      </w:r>
      <w:r>
        <w:rPr>
          <w:rFonts w:hint="default" w:ascii="Times New Roman" w:hAnsi="Times New Roman" w:eastAsia="宋体" w:cs="Times New Roman"/>
          <w:color w:val="auto"/>
          <w:kern w:val="2"/>
          <w:sz w:val="24"/>
          <w:szCs w:val="24"/>
          <w:lang w:val="en-US" w:eastAsia="zh-CN" w:bidi="ar-SA"/>
        </w:rPr>
        <w:t>进一步规范</w:t>
      </w:r>
      <w:r>
        <w:rPr>
          <w:rFonts w:hint="eastAsia" w:cs="Times New Roman"/>
          <w:color w:val="auto"/>
          <w:kern w:val="2"/>
          <w:sz w:val="24"/>
          <w:szCs w:val="24"/>
          <w:lang w:val="en-US" w:eastAsia="zh-CN" w:bidi="ar-SA"/>
        </w:rPr>
        <w:t>固废间、</w:t>
      </w:r>
      <w:r>
        <w:rPr>
          <w:rFonts w:hint="default" w:ascii="Times New Roman" w:hAnsi="Times New Roman" w:eastAsia="宋体" w:cs="Times New Roman"/>
          <w:color w:val="auto"/>
          <w:kern w:val="2"/>
          <w:sz w:val="24"/>
          <w:szCs w:val="24"/>
          <w:lang w:val="en-US" w:eastAsia="zh-CN" w:bidi="ar-SA"/>
        </w:rPr>
        <w:t>危废暂存间，</w:t>
      </w:r>
      <w:r>
        <w:rPr>
          <w:rFonts w:hint="eastAsia" w:cs="Times New Roman"/>
          <w:color w:val="auto"/>
          <w:kern w:val="2"/>
          <w:sz w:val="24"/>
          <w:szCs w:val="24"/>
          <w:lang w:val="en-US" w:eastAsia="zh-CN" w:bidi="ar-SA"/>
        </w:rPr>
        <w:t>危废分类存放，</w:t>
      </w:r>
      <w:r>
        <w:rPr>
          <w:rFonts w:hint="default" w:ascii="Times New Roman" w:hAnsi="Times New Roman" w:eastAsia="宋体" w:cs="Times New Roman"/>
          <w:color w:val="auto"/>
          <w:kern w:val="2"/>
          <w:sz w:val="24"/>
          <w:szCs w:val="24"/>
          <w:lang w:val="en-US" w:eastAsia="zh-CN" w:bidi="ar-SA"/>
        </w:rPr>
        <w:t>完善管理制度和管理台账。严格按照《危险废物贮存污染控制标准》（GB18597-2001）及修改单要求，对产生的危险废物进行贮存和管理，并委托有资质的单位及时进行转移处置。</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八、验收人员信息</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见附件。</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聊城昊越镁林物资有限公司</w:t>
      </w:r>
    </w:p>
    <w:p>
      <w:pPr>
        <w:spacing w:line="360" w:lineRule="auto"/>
        <w:ind w:left="233" w:leftChars="111" w:firstLine="520" w:firstLineChars="216"/>
        <w:jc w:val="right"/>
        <w:rPr>
          <w:rFonts w:hint="default"/>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2021年10月24日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03B8"/>
    <w:rsid w:val="01A67464"/>
    <w:rsid w:val="02E1230E"/>
    <w:rsid w:val="0363342C"/>
    <w:rsid w:val="0400088B"/>
    <w:rsid w:val="06DC5C52"/>
    <w:rsid w:val="0705220E"/>
    <w:rsid w:val="07E235D4"/>
    <w:rsid w:val="09E53528"/>
    <w:rsid w:val="0A775B6C"/>
    <w:rsid w:val="0BB105F9"/>
    <w:rsid w:val="0BCD78E3"/>
    <w:rsid w:val="0BD4352F"/>
    <w:rsid w:val="0C9D7A18"/>
    <w:rsid w:val="0D002E61"/>
    <w:rsid w:val="0E9F521D"/>
    <w:rsid w:val="110D6D4E"/>
    <w:rsid w:val="12BE4513"/>
    <w:rsid w:val="13242E95"/>
    <w:rsid w:val="17073D8B"/>
    <w:rsid w:val="188E6607"/>
    <w:rsid w:val="18B2210E"/>
    <w:rsid w:val="18D05E89"/>
    <w:rsid w:val="18E72AEC"/>
    <w:rsid w:val="19BD6A9B"/>
    <w:rsid w:val="1AAF6CA7"/>
    <w:rsid w:val="1B753DC5"/>
    <w:rsid w:val="1B7C7285"/>
    <w:rsid w:val="1BAC68BE"/>
    <w:rsid w:val="1DF30D46"/>
    <w:rsid w:val="1E9D1B02"/>
    <w:rsid w:val="20F95110"/>
    <w:rsid w:val="21E62141"/>
    <w:rsid w:val="23253252"/>
    <w:rsid w:val="24DD3549"/>
    <w:rsid w:val="27420539"/>
    <w:rsid w:val="27776D4F"/>
    <w:rsid w:val="284C33EF"/>
    <w:rsid w:val="286B6E9D"/>
    <w:rsid w:val="2BD129D7"/>
    <w:rsid w:val="2BFB35B9"/>
    <w:rsid w:val="2C8345D6"/>
    <w:rsid w:val="2D891AE4"/>
    <w:rsid w:val="2DE61E9D"/>
    <w:rsid w:val="2E594393"/>
    <w:rsid w:val="31572BC2"/>
    <w:rsid w:val="337178B1"/>
    <w:rsid w:val="33E80446"/>
    <w:rsid w:val="35A21894"/>
    <w:rsid w:val="35CA7C00"/>
    <w:rsid w:val="36292142"/>
    <w:rsid w:val="371221B6"/>
    <w:rsid w:val="395656FC"/>
    <w:rsid w:val="3A002C99"/>
    <w:rsid w:val="3B2962D5"/>
    <w:rsid w:val="3B9345B4"/>
    <w:rsid w:val="3C495586"/>
    <w:rsid w:val="3C614E95"/>
    <w:rsid w:val="3D216C63"/>
    <w:rsid w:val="3D481CA9"/>
    <w:rsid w:val="407E79EC"/>
    <w:rsid w:val="425A3055"/>
    <w:rsid w:val="42D02360"/>
    <w:rsid w:val="42ED0B8D"/>
    <w:rsid w:val="440B2C50"/>
    <w:rsid w:val="45B12AB5"/>
    <w:rsid w:val="46440069"/>
    <w:rsid w:val="483D5E39"/>
    <w:rsid w:val="4BC32318"/>
    <w:rsid w:val="4CF47C94"/>
    <w:rsid w:val="4D966CB6"/>
    <w:rsid w:val="51603323"/>
    <w:rsid w:val="52082039"/>
    <w:rsid w:val="520B1012"/>
    <w:rsid w:val="53D87E59"/>
    <w:rsid w:val="56DD1623"/>
    <w:rsid w:val="584674DB"/>
    <w:rsid w:val="59632F9B"/>
    <w:rsid w:val="59772D6C"/>
    <w:rsid w:val="5B994AD0"/>
    <w:rsid w:val="5BB97A85"/>
    <w:rsid w:val="5C705EEE"/>
    <w:rsid w:val="5D580A9C"/>
    <w:rsid w:val="5F0C4CFF"/>
    <w:rsid w:val="602A22C2"/>
    <w:rsid w:val="64C4763E"/>
    <w:rsid w:val="65826A80"/>
    <w:rsid w:val="66FB5067"/>
    <w:rsid w:val="6A4209DB"/>
    <w:rsid w:val="6ABA50EB"/>
    <w:rsid w:val="6DEB0CC4"/>
    <w:rsid w:val="6E620EC2"/>
    <w:rsid w:val="70346B17"/>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Plain Text"/>
    <w:basedOn w:val="1"/>
    <w:next w:val="3"/>
    <w:unhideWhenUsed/>
    <w:qFormat/>
    <w:uiPriority w:val="99"/>
    <w:rPr>
      <w:rFonts w:ascii="宋体" w:hAnsi="Courier New" w:cs="Courier New"/>
      <w:szCs w:val="21"/>
    </w:rPr>
  </w:style>
  <w:style w:type="paragraph" w:styleId="3">
    <w:name w:val="Body Text Indent"/>
    <w:basedOn w:val="1"/>
    <w:next w:val="4"/>
    <w:uiPriority w:val="0"/>
    <w:pPr>
      <w:ind w:right="-100" w:firstLine="560" w:firstLineChars="200"/>
    </w:pPr>
    <w:rPr>
      <w:sz w:val="28"/>
    </w:rPr>
  </w:style>
  <w:style w:type="paragraph" w:styleId="4">
    <w:name w:val="header"/>
    <w:basedOn w:val="1"/>
    <w:next w:val="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5">
    <w:name w:val="样式5"/>
    <w:basedOn w:val="6"/>
    <w:qFormat/>
    <w:uiPriority w:val="0"/>
    <w:pPr>
      <w:snapToGrid w:val="0"/>
      <w:spacing w:line="360" w:lineRule="auto"/>
      <w:ind w:firstLine="510"/>
    </w:pPr>
    <w:rPr>
      <w:sz w:val="24"/>
    </w:rPr>
  </w:style>
  <w:style w:type="paragraph" w:customStyle="1" w:styleId="6">
    <w:name w:val="正文1"/>
    <w:basedOn w:val="1"/>
    <w:next w:val="1"/>
    <w:qFormat/>
    <w:uiPriority w:val="0"/>
    <w:pPr>
      <w:jc w:val="center"/>
    </w:pPr>
    <w:rPr>
      <w:rFonts w:ascii="宋体" w:hAnsi="宋体"/>
      <w:kern w:val="36"/>
    </w:rPr>
  </w:style>
  <w:style w:type="paragraph" w:styleId="7">
    <w:name w:val="annotation text"/>
    <w:basedOn w:val="1"/>
    <w:unhideWhenUsed/>
    <w:qFormat/>
    <w:uiPriority w:val="99"/>
    <w:pPr>
      <w:jc w:val="left"/>
    </w:pPr>
  </w:style>
  <w:style w:type="paragraph" w:styleId="8">
    <w:name w:val="Body Text"/>
    <w:basedOn w:val="1"/>
    <w:next w:val="9"/>
    <w:qFormat/>
    <w:uiPriority w:val="0"/>
    <w:pPr>
      <w:spacing w:after="120"/>
    </w:pPr>
  </w:style>
  <w:style w:type="paragraph" w:styleId="9">
    <w:name w:val="Date"/>
    <w:basedOn w:val="1"/>
    <w:next w:val="1"/>
    <w:qFormat/>
    <w:uiPriority w:val="0"/>
    <w:pPr>
      <w:ind w:left="100" w:leftChars="2500"/>
    </w:pPr>
    <w:rPr>
      <w:rFonts w:ascii="宋体" w:hAnsi="宋体"/>
      <w:szCs w:val="24"/>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footer"/>
    <w:basedOn w:val="1"/>
    <w:qFormat/>
    <w:uiPriority w:val="0"/>
    <w:pPr>
      <w:tabs>
        <w:tab w:val="center" w:pos="4153"/>
        <w:tab w:val="right" w:pos="8306"/>
      </w:tabs>
      <w:snapToGrid w:val="0"/>
      <w:jc w:val="left"/>
    </w:pPr>
    <w:rPr>
      <w:sz w:val="18"/>
    </w:r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li_正文"/>
    <w:basedOn w:val="1"/>
    <w:qFormat/>
    <w:uiPriority w:val="0"/>
    <w:pPr>
      <w:ind w:firstLine="200" w:firstLineChars="200"/>
      <w:jc w:val="left"/>
    </w:pPr>
    <w:rPr>
      <w:rFonts w:ascii="Calibri" w:hAnsi="Calibri" w:eastAsia="宋体" w:cs="Times New Roman"/>
      <w:sz w:val="28"/>
      <w:szCs w:val="28"/>
    </w:r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2021-11-01T07:54:28Z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3D5EB39E1CB94214806B83175F5F442D</vt:lpwstr>
  </property>
</Properties>
</file>