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6" w:leftChars="103" w:firstLine="0" w:firstLineChars="0"/>
        <w:jc w:val="center"/>
        <w:rPr>
          <w:rFonts w:hint="default" w:ascii="Times New Roman" w:hAnsi="Times New Roman" w:eastAsia="宋体" w:cs="Times New Roman"/>
          <w:b/>
          <w:color w:val="auto"/>
          <w:sz w:val="28"/>
          <w:szCs w:val="28"/>
        </w:rPr>
      </w:pPr>
      <w:r>
        <w:rPr>
          <w:rFonts w:hint="eastAsia" w:cs="Times New Roman"/>
          <w:b/>
          <w:color w:val="auto"/>
          <w:sz w:val="28"/>
          <w:szCs w:val="28"/>
          <w:lang w:val="en-US" w:eastAsia="zh-CN"/>
        </w:rPr>
        <w:t>齐鲁大地科技有限公司年产6000千米特种电线电缆项目（一期）</w:t>
      </w: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tabs>
          <w:tab w:val="left" w:pos="220"/>
        </w:tabs>
        <w:spacing w:line="240" w:lineRule="auto"/>
        <w:ind w:left="233" w:leftChars="111" w:firstLine="453" w:firstLineChars="216"/>
        <w:jc w:val="left"/>
        <w:rPr>
          <w:rFonts w:hint="eastAsia" w:cs="Times New Roman"/>
          <w:color w:val="auto"/>
          <w:sz w:val="21"/>
          <w:szCs w:val="21"/>
          <w:highlight w:val="none"/>
          <w:lang w:val="en-US" w:eastAsia="zh-CN"/>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val="en-US" w:eastAsia="zh-CN"/>
        </w:rPr>
        <w:t>2022年1月8日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齐鲁大地科技有限公司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年产6000千米特种电线电缆项目（一期）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齐鲁大地科技有限公司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齐鲁大地科技有限公司位于山东省聊城市阳谷县祥光铜业科技园祥瑞路与祥光路交叉口向南188米路西。项目预计总投资1500万元，占地6100平方米，2#车间租赁原大金电缆生产车间，3#车间暂为空地，设计生产规模为年产6000千米特种电线电缆。</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由于企业资金问题，实际总投资600万元，现仅租用2#车间西侧，占地1500平方米，实际生产规模可达年产1000千米电线及1000千米普通电缆。</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5月齐鲁大地科技有限公司委托山东锦航环保科技有限公司编制了《齐鲁大地科技有限公司年产6000千米特种电线电缆项目环境影响报告表》，2021年08月18日阳谷县行政审批服务局以阳行审环字〔2021〕37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10月公司委托山东聊和环保科技有限公司进行本项目的环保验收监测工作，接受委托后山东聊和环保科技有限公司组织有关技术人员进行现场踏勘，依据监测技术规范制定了环保验收一期监测方案，并于2021年12月29日-30日对该企业进行了验收一期监测，根据验收监测结果和现场检查情况编制了本项目一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600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30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5</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eastAsia="zh-CN"/>
        </w:rPr>
        <w:t>年产1000千米电线及1000千米普通电缆</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由于企业资金问题，实际总投资600万元，现仅租用2#车间西侧，占地1500平方米，实际生产规模可达年产1000千米电线及1000千米普通电缆，项目分期验收，本次验收为一期。其中，普通电缆因实际生产需要，部分产品在绕线工艺后需要进行云母带绕包，该工艺未新增废气、废水污染物。根据《关于印发污染影响类建设项目重大变动清单（试行）的通知》环办环评函〔2020〕688号，项目生产性质、生产规模、生产地点、生产工艺及环保设施均无明显变动，项目不涉及重大变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三、</w:t>
      </w: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本项目废水主要为生活污水及循环冷却废水，生活污水经化粪池收集后，与循环冷却废水共同排入阳谷县碧海国环污水处理有限公司深度处理。</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本项目2#车间熔融挤出、喷码工序产生的有机废气经集气罩收集后，通过“碱洗+催化燃烧+活性炭吸附装置”处理，最后通过15米高排气筒DA001排放。未被收集的废气以无组织形式排放。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本项目噪声主要来源于挤塑机、绞线机、成缆机等各类机械设备。通过基础减振、距离衰减、并将设备布置在封闭车间内等综合控制措施，降低对外环境的影响。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2"/>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本项目固体废物主要为生产过程中产生的废塑料及不合格产品、原料的废包装材料、废机油、废活性炭、废催化剂、废油墨桶和职工生活垃圾。</w:t>
      </w:r>
    </w:p>
    <w:p>
      <w:pPr>
        <w:pStyle w:val="12"/>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生产过程中产生的下脚料及不合格产品主要为铜丝、铝丝及废塑料，原料的废包装材料主要为塑料颗粒的包装袋，均外售资源回收单位。项目利用碱洗装置去除氯化氢气体，过程中会产生池泥，清理后混入生活垃圾，一并委托环卫部门清理。</w:t>
      </w:r>
    </w:p>
    <w:p>
      <w:pPr>
        <w:pStyle w:val="12"/>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项目设备在维护保养过程产生的废机油属于危险废物，危险废物类型为：HW08，废物代码：900-249-08；项目废气处理设施产生的废活性炭属于危险废物，危险废物类型为：HW49，危废代码 900-039-49；催化燃烧产生废催化剂，属于危险废物，废催化剂属HW46，危废代码900-037-46；废油墨桶属于危险废物，危险废物类型为：HW49，废物代码：900-041-49，均集中收集后储存于危废间然后委托相关资质单位处置。</w:t>
      </w:r>
    </w:p>
    <w:p>
      <w:pPr>
        <w:pStyle w:val="12"/>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齐鲁大地科技有限公司年产6000千米特种电线电缆项目（一期）</w:t>
      </w:r>
      <w:r>
        <w:rPr>
          <w:rFonts w:hint="default" w:ascii="Times New Roman" w:hAnsi="Times New Roman" w:eastAsia="宋体" w:cs="Times New Roman"/>
          <w:color w:val="auto"/>
          <w:sz w:val="24"/>
          <w:szCs w:val="24"/>
        </w:rPr>
        <w:t>竣工环境保护验收监测报告》监测结果表明：</w:t>
      </w:r>
    </w:p>
    <w:p>
      <w:pPr>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验收监测期间，废水pH为7.0-7.2，化学需氧量、五日生化需氧量、悬浮物、氨氮最高排放浓度分别为175mg/L、69.6mg/L、67mg/L、1.30mg/L，均满足《污水排入城镇下水道水质标准》（GB/T 31962-2015）表1中B级标准及阳谷碧海国环污水处理有限公司进水标准要求。</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eastAsia" w:ascii="Times New Roman" w:hAnsi="Times New Roman" w:cs="Times New Roman"/>
          <w:color w:val="auto"/>
          <w:sz w:val="24"/>
          <w:szCs w:val="24"/>
          <w:lang w:eastAsia="zh-CN"/>
        </w:rPr>
        <w:t>有组织氯化氢</w:t>
      </w:r>
      <w:r>
        <w:rPr>
          <w:rFonts w:hint="eastAsia" w:ascii="Times New Roman" w:hAnsi="Times New Roman" w:cs="Times New Roman"/>
          <w:bCs/>
          <w:color w:val="auto"/>
          <w:sz w:val="24"/>
          <w:szCs w:val="24"/>
          <w:lang w:eastAsia="zh-CN"/>
        </w:rPr>
        <w:t>最高排放浓度为</w:t>
      </w:r>
      <w:r>
        <w:rPr>
          <w:rFonts w:hint="eastAsia" w:ascii="Times New Roman" w:hAnsi="Times New Roman" w:cs="Times New Roman"/>
          <w:bCs/>
          <w:color w:val="auto"/>
          <w:sz w:val="24"/>
          <w:szCs w:val="24"/>
          <w:lang w:val="en-US" w:eastAsia="zh-CN"/>
        </w:rPr>
        <w:t>0.43</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w:t>
      </w:r>
      <w:r>
        <w:rPr>
          <w:rFonts w:hint="eastAsia" w:ascii="Times New Roman" w:hAnsi="Times New Roman" w:cs="Times New Roman"/>
          <w:bCs/>
          <w:color w:val="auto"/>
          <w:sz w:val="24"/>
          <w:szCs w:val="24"/>
          <w:lang w:eastAsia="zh-CN"/>
        </w:rPr>
        <w:t>速率最高为2.9×10</w:t>
      </w:r>
      <w:r>
        <w:rPr>
          <w:rFonts w:hint="eastAsia" w:ascii="Times New Roman" w:hAnsi="Times New Roman" w:cs="Times New Roman"/>
          <w:bCs/>
          <w:color w:val="auto"/>
          <w:sz w:val="24"/>
          <w:szCs w:val="24"/>
          <w:vertAlign w:val="superscript"/>
          <w:lang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，满足《大气污染物综合排放标准》（GB16297-1996）表2标准要求</w:t>
      </w:r>
      <w:r>
        <w:rPr>
          <w:rFonts w:hint="eastAsia"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有组织</w:t>
      </w:r>
      <w:r>
        <w:rPr>
          <w:rFonts w:hint="default" w:ascii="Times New Roman" w:hAnsi="Times New Roman" w:eastAsia="宋体" w:cs="Times New Roman"/>
          <w:bCs/>
          <w:color w:val="auto"/>
          <w:sz w:val="24"/>
          <w:szCs w:val="24"/>
          <w:lang w:val="en-US" w:eastAsia="zh-CN"/>
        </w:rPr>
        <w:t>VOCs</w:t>
      </w:r>
      <w:r>
        <w:rPr>
          <w:rFonts w:hint="eastAsia" w:ascii="Times New Roman" w:hAnsi="Times New Roman" w:cs="Times New Roman"/>
          <w:bCs/>
          <w:color w:val="auto"/>
          <w:sz w:val="24"/>
          <w:szCs w:val="24"/>
          <w:lang w:eastAsia="zh-CN"/>
        </w:rPr>
        <w:t>最高排放浓度为0.79</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w:t>
      </w:r>
      <w:r>
        <w:rPr>
          <w:rFonts w:hint="eastAsia" w:ascii="Times New Roman" w:hAnsi="Times New Roman" w:cs="Times New Roman"/>
          <w:bCs/>
          <w:color w:val="auto"/>
          <w:sz w:val="24"/>
          <w:szCs w:val="24"/>
          <w:lang w:eastAsia="zh-CN"/>
        </w:rPr>
        <w:t>速率最高为4.9×10</w:t>
      </w:r>
      <w:r>
        <w:rPr>
          <w:rFonts w:hint="eastAsia" w:ascii="Times New Roman" w:hAnsi="Times New Roman" w:cs="Times New Roman"/>
          <w:bCs/>
          <w:color w:val="auto"/>
          <w:sz w:val="24"/>
          <w:szCs w:val="24"/>
          <w:vertAlign w:val="superscript"/>
          <w:lang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w:t>
      </w:r>
      <w:r>
        <w:rPr>
          <w:rFonts w:hint="default" w:ascii="Times New Roman" w:hAnsi="Times New Roman" w:cs="Times New Roman"/>
          <w:bCs/>
          <w:color w:val="auto"/>
          <w:sz w:val="24"/>
          <w:szCs w:val="24"/>
          <w:lang w:val="en-US" w:eastAsia="zh-CN"/>
        </w:rPr>
        <w:t>《挥发性有机物排放标准 第7部分：其他行业》（DB37/ 2801.7-2019）</w:t>
      </w:r>
      <w:r>
        <w:rPr>
          <w:rFonts w:hint="default" w:ascii="Times New Roman" w:hAnsi="Times New Roman" w:cs="Times New Roman"/>
          <w:bCs/>
          <w:color w:val="auto"/>
          <w:sz w:val="24"/>
          <w:szCs w:val="24"/>
          <w:lang w:eastAsia="zh-CN"/>
        </w:rPr>
        <w:t>表1中Ⅱ时段排放限值</w:t>
      </w:r>
      <w:r>
        <w:rPr>
          <w:rFonts w:hint="default" w:ascii="Times New Roman" w:hAnsi="Times New Roman" w:eastAsia="宋体" w:cs="Times New Roman"/>
          <w:color w:val="FF0000"/>
          <w:sz w:val="24"/>
          <w:szCs w:val="24"/>
          <w:lang w:eastAsia="zh-CN"/>
        </w:rPr>
        <w:t>。</w:t>
      </w:r>
      <w:r>
        <w:rPr>
          <w:rFonts w:hint="eastAsia" w:ascii="Times New Roman" w:hAnsi="Times New Roman" w:cs="Times New Roman"/>
          <w:bCs/>
          <w:color w:val="000000"/>
          <w:sz w:val="24"/>
          <w:szCs w:val="24"/>
          <w:lang w:eastAsia="zh-CN"/>
        </w:rPr>
        <w:t>无组织氯化氢小时浓度最高为0.050</w:t>
      </w:r>
      <w:r>
        <w:rPr>
          <w:rFonts w:hint="eastAsia" w:ascii="Times New Roman" w:hAnsi="Times New Roman" w:cs="Times New Roman"/>
          <w:sz w:val="24"/>
          <w:szCs w:val="24"/>
          <w:lang w:eastAsia="zh-CN"/>
        </w:rPr>
        <w:t>mg</w:t>
      </w:r>
      <w:r>
        <w:rPr>
          <w:rFonts w:hint="default" w:ascii="Times New Roman" w:hAnsi="Times New Roman" w:cs="Times New Roman"/>
          <w:b w:val="0"/>
          <w:bCs w:val="0"/>
          <w:color w:val="auto"/>
          <w:sz w:val="24"/>
          <w:szCs w:val="24"/>
          <w:vertAlign w:val="baseline"/>
          <w:lang w:val="en-US" w:eastAsia="zh-CN"/>
        </w:rPr>
        <w:t>/m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满足《大气污染物综合排放标准》表2</w:t>
      </w:r>
      <w:r>
        <w:rPr>
          <w:rFonts w:hint="eastAsia" w:ascii="Times New Roman" w:hAnsi="Times New Roman" w:eastAsia="宋体" w:cs="Times New Roman"/>
          <w:sz w:val="24"/>
          <w:szCs w:val="24"/>
          <w:lang w:eastAsia="zh-CN"/>
        </w:rPr>
        <w:t>标准</w:t>
      </w:r>
      <w:r>
        <w:rPr>
          <w:rFonts w:hint="default" w:ascii="Times New Roman" w:hAnsi="Times New Roman" w:eastAsia="宋体" w:cs="Times New Roman"/>
          <w:sz w:val="24"/>
          <w:szCs w:val="24"/>
          <w:lang w:eastAsia="zh-CN"/>
        </w:rPr>
        <w:t>要求</w:t>
      </w:r>
      <w:r>
        <w:rPr>
          <w:rFonts w:hint="eastAsia" w:ascii="Times New Roman" w:hAnsi="Times New Roman" w:cs="Times New Roman"/>
          <w:bCs/>
          <w:color w:val="000000"/>
          <w:sz w:val="24"/>
          <w:szCs w:val="24"/>
          <w:lang w:eastAsia="zh-CN"/>
        </w:rPr>
        <w:t>；</w:t>
      </w:r>
      <w:r>
        <w:rPr>
          <w:rFonts w:hint="eastAsia" w:ascii="Times New Roman" w:hAnsi="Times New Roman" w:cs="Times New Roman"/>
          <w:sz w:val="24"/>
          <w:szCs w:val="24"/>
          <w:lang w:eastAsia="zh-CN"/>
        </w:rPr>
        <w:t>无组织VOCs小时浓度最高为0.28mg</w:t>
      </w:r>
      <w:r>
        <w:rPr>
          <w:rFonts w:hint="default" w:ascii="Times New Roman" w:hAnsi="Times New Roman" w:cs="Times New Roman"/>
          <w:b w:val="0"/>
          <w:bCs w:val="0"/>
          <w:color w:val="auto"/>
          <w:sz w:val="24"/>
          <w:szCs w:val="24"/>
          <w:vertAlign w:val="baseline"/>
          <w:lang w:val="en-US" w:eastAsia="zh-CN"/>
        </w:rPr>
        <w:t>/m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满足</w:t>
      </w:r>
      <w:r>
        <w:rPr>
          <w:rFonts w:hint="default" w:ascii="Times New Roman" w:hAnsi="Times New Roman" w:cs="Times New Roman"/>
          <w:sz w:val="24"/>
          <w:szCs w:val="24"/>
          <w:lang w:eastAsia="zh-CN"/>
        </w:rPr>
        <w:t>《挥发性有机物排放标准 第7部分：其他行业》表2厂界监控点浓度限值</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br w:type="textWrapping"/>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总量控制：根据本次项目监测结果，以及企业提供运行时间（挤出、喷码年运行时间1000h/a），本项目VOCs折算为满负荷后排放总量为0.00449t/a，满足批复中总量控制指标0.02618t/a。</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验收监测期间，监测点位昼间噪声在57.2-58.7(dB)之间，夜间噪声在50.8-52.7(dB)之间，符合《工业企业厂界环境噪声排放标准》（GB12348－2008）中的3类标准限值。</w:t>
      </w:r>
    </w:p>
    <w:p>
      <w:pPr>
        <w:numPr>
          <w:ilvl w:val="0"/>
          <w:numId w:val="3"/>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zh-CN" w:eastAsia="zh-CN"/>
        </w:rPr>
        <w:t>同上文三、（四）</w:t>
      </w:r>
      <w:r>
        <w:rPr>
          <w:rFonts w:hint="default" w:ascii="Times New Roman" w:hAnsi="Times New Roman" w:eastAsia="宋体" w:cs="Times New Roman"/>
          <w:color w:val="auto"/>
          <w:sz w:val="24"/>
          <w:szCs w:val="24"/>
        </w:rPr>
        <w:t>。</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齐鲁大地科技有限公司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齐鲁大地科技有限公司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pStyle w:val="7"/>
        <w:numPr>
          <w:ilvl w:val="0"/>
          <w:numId w:val="4"/>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集气管道加设截止设施，集气罩垂帘须下延，定期检查废气收集设施的运行情况，确保废气有效收集和处理；</w:t>
      </w:r>
    </w:p>
    <w:p>
      <w:pPr>
        <w:pStyle w:val="7"/>
        <w:numPr>
          <w:ilvl w:val="0"/>
          <w:numId w:val="4"/>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生产作业期间关闭门窗；</w:t>
      </w:r>
    </w:p>
    <w:p>
      <w:pPr>
        <w:pStyle w:val="7"/>
        <w:numPr>
          <w:ilvl w:val="0"/>
          <w:numId w:val="4"/>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进一步规范危废暂存间，加设防护网，严格按照《危险废物贮存污染控制标准》（GB18597-2001）及修改单要求，对产生的危险废物进行贮存和管理，并委托有资质的单位及时进行转移处置。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七</w:t>
      </w:r>
      <w:r>
        <w:rPr>
          <w:rFonts w:hint="default" w:ascii="Times New Roman" w:hAnsi="Times New Roman" w:eastAsia="宋体" w:cs="Times New Roman"/>
          <w:color w:val="auto"/>
          <w:sz w:val="24"/>
          <w:szCs w:val="24"/>
          <w:lang w:val="en-US" w:eastAsia="zh-CN"/>
        </w:rPr>
        <w:t>、验收人员信息</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tabs>
          <w:tab w:val="left" w:pos="5955"/>
          <w:tab w:val="left" w:pos="6095"/>
        </w:tabs>
        <w:spacing w:line="360" w:lineRule="auto"/>
        <w:ind w:left="233" w:leftChars="111" w:firstLine="518" w:firstLineChars="216"/>
        <w:jc w:val="left"/>
        <w:rPr>
          <w:rFonts w:hint="eastAsia" w:ascii="Times New Roman" w:hAnsi="Times New Roman" w:eastAsia="宋体" w:cs="Times New Roman"/>
          <w:color w:val="FF0000"/>
          <w:sz w:val="24"/>
          <w:szCs w:val="24"/>
          <w:lang w:val="en-US" w:eastAsia="zh-CN"/>
        </w:rPr>
      </w:pPr>
      <w:r>
        <w:rPr>
          <w:rFonts w:hint="eastAsia" w:cs="Times New Roman"/>
          <w:color w:val="FF0000"/>
          <w:sz w:val="24"/>
          <w:szCs w:val="24"/>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default" w:ascii="Times New Roman" w:hAnsi="Times New Roman" w:eastAsia="宋体" w:cs="Times New Roman"/>
          <w:b/>
          <w:bCs/>
          <w:color w:val="auto"/>
          <w:sz w:val="24"/>
          <w:szCs w:val="24"/>
        </w:rPr>
      </w:pPr>
      <w:r>
        <w:rPr>
          <w:rFonts w:hint="eastAsia" w:cs="Times New Roman"/>
          <w:b/>
          <w:bCs/>
          <w:color w:val="auto"/>
          <w:sz w:val="24"/>
          <w:szCs w:val="24"/>
          <w:lang w:eastAsia="zh-CN"/>
        </w:rPr>
        <w:t>齐鲁大地科技有限公司</w:t>
      </w:r>
      <w:r>
        <w:rPr>
          <w:rFonts w:hint="default" w:ascii="Times New Roman" w:hAnsi="Times New Roman" w:eastAsia="宋体" w:cs="Times New Roman"/>
          <w:b/>
          <w:bCs/>
          <w:color w:val="auto"/>
          <w:sz w:val="24"/>
          <w:szCs w:val="24"/>
        </w:rPr>
        <w:t>验收组</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2022年1月8日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D23E1C"/>
    <w:rsid w:val="0A212C36"/>
    <w:rsid w:val="0A775B6C"/>
    <w:rsid w:val="0BB105F9"/>
    <w:rsid w:val="0BCD78E3"/>
    <w:rsid w:val="0BD4352F"/>
    <w:rsid w:val="0CE3204A"/>
    <w:rsid w:val="0D002E61"/>
    <w:rsid w:val="0E9F521D"/>
    <w:rsid w:val="110D6D4E"/>
    <w:rsid w:val="126A6033"/>
    <w:rsid w:val="13242E95"/>
    <w:rsid w:val="14BB66C9"/>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9944B64"/>
    <w:rsid w:val="2A3419D7"/>
    <w:rsid w:val="2A636C42"/>
    <w:rsid w:val="2B406004"/>
    <w:rsid w:val="2BD129D7"/>
    <w:rsid w:val="2BFB35B9"/>
    <w:rsid w:val="2C8345D6"/>
    <w:rsid w:val="2DAE28FA"/>
    <w:rsid w:val="2DE61E9D"/>
    <w:rsid w:val="2E594393"/>
    <w:rsid w:val="2F560285"/>
    <w:rsid w:val="31572BC2"/>
    <w:rsid w:val="33E80446"/>
    <w:rsid w:val="347939B9"/>
    <w:rsid w:val="35A21894"/>
    <w:rsid w:val="35CA7C00"/>
    <w:rsid w:val="36DC4BF4"/>
    <w:rsid w:val="371221B6"/>
    <w:rsid w:val="3B2962D5"/>
    <w:rsid w:val="3B9345B4"/>
    <w:rsid w:val="3C495586"/>
    <w:rsid w:val="3C614E95"/>
    <w:rsid w:val="3D216C63"/>
    <w:rsid w:val="3D481CA9"/>
    <w:rsid w:val="3E332604"/>
    <w:rsid w:val="40FA31F3"/>
    <w:rsid w:val="41E12FA6"/>
    <w:rsid w:val="425A3055"/>
    <w:rsid w:val="42D02360"/>
    <w:rsid w:val="42ED0B8D"/>
    <w:rsid w:val="440B2C50"/>
    <w:rsid w:val="45B12AB5"/>
    <w:rsid w:val="48C560CE"/>
    <w:rsid w:val="4BC32318"/>
    <w:rsid w:val="4D966CB6"/>
    <w:rsid w:val="51603323"/>
    <w:rsid w:val="52082039"/>
    <w:rsid w:val="520B1012"/>
    <w:rsid w:val="532D6C67"/>
    <w:rsid w:val="542A712B"/>
    <w:rsid w:val="55B466E2"/>
    <w:rsid w:val="56DD1623"/>
    <w:rsid w:val="59A24DB0"/>
    <w:rsid w:val="5B994AD0"/>
    <w:rsid w:val="5BB97A85"/>
    <w:rsid w:val="5C705EEE"/>
    <w:rsid w:val="5D580A9C"/>
    <w:rsid w:val="5F0C4CFF"/>
    <w:rsid w:val="602A22C2"/>
    <w:rsid w:val="631C28B8"/>
    <w:rsid w:val="64C4763E"/>
    <w:rsid w:val="65826A80"/>
    <w:rsid w:val="66FB5067"/>
    <w:rsid w:val="6A111C44"/>
    <w:rsid w:val="6A1C5DAF"/>
    <w:rsid w:val="6A4209DB"/>
    <w:rsid w:val="6ABA50EB"/>
    <w:rsid w:val="6D9A6AD5"/>
    <w:rsid w:val="6DEB0CC4"/>
    <w:rsid w:val="6E0B014D"/>
    <w:rsid w:val="6E620EC2"/>
    <w:rsid w:val="71B93CCB"/>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ody Text Indent"/>
    <w:basedOn w:val="1"/>
    <w:next w:val="5"/>
    <w:qFormat/>
    <w:uiPriority w:val="0"/>
    <w:pPr>
      <w:ind w:right="-100" w:firstLine="560" w:firstLineChars="200"/>
    </w:pPr>
    <w:rPr>
      <w:sz w:val="2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semiHidden/>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table" w:styleId="10">
    <w:name w:val="Table Grid"/>
    <w:basedOn w:val="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99"/>
    <w:pPr>
      <w:ind w:firstLine="420" w:firstLineChars="200"/>
    </w:pPr>
  </w:style>
  <w:style w:type="paragraph" w:customStyle="1" w:styleId="13">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4">
    <w:name w:val="样式5"/>
    <w:basedOn w:val="15"/>
    <w:qFormat/>
    <w:uiPriority w:val="0"/>
    <w:pPr>
      <w:snapToGrid w:val="0"/>
      <w:spacing w:line="360" w:lineRule="auto"/>
      <w:ind w:firstLine="510"/>
    </w:pPr>
    <w:rPr>
      <w:sz w:val="24"/>
    </w:rPr>
  </w:style>
  <w:style w:type="paragraph" w:customStyle="1" w:styleId="15">
    <w:name w:val="正文1"/>
    <w:basedOn w:val="1"/>
    <w:next w:val="1"/>
    <w:qFormat/>
    <w:uiPriority w:val="0"/>
    <w:pPr>
      <w:jc w:val="center"/>
    </w:pPr>
    <w:rPr>
      <w:rFonts w:ascii="宋体" w:hAnsi="宋体"/>
      <w:kern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2198</Words>
  <Characters>2469</Characters>
  <Lines>0</Lines>
  <Paragraphs>0</Paragraphs>
  <TotalTime>1</TotalTime>
  <ScaleCrop>false</ScaleCrop>
  <LinksUpToDate>false</LinksUpToDate>
  <CharactersWithSpaces>2509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2022-01-12T03:02:48Z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D62E94AD30504F50AAF7A56396310E6C</vt:lpwstr>
  </property>
</Properties>
</file>