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spacing w:line="360" w:lineRule="auto"/>
        <w:ind w:left="16" w:leftChars="0" w:hanging="16" w:hangingChars="5"/>
        <w:jc w:val="center"/>
        <w:rPr>
          <w:rFonts w:hint="default" w:cs="Times New Roman"/>
          <w:b/>
          <w:color w:val="auto"/>
          <w:sz w:val="32"/>
          <w:szCs w:val="32"/>
          <w:lang w:val="en-US" w:eastAsia="zh-CN"/>
        </w:rPr>
      </w:pPr>
      <w:r>
        <w:rPr>
          <w:rFonts w:hint="eastAsia" w:cs="Times New Roman"/>
          <w:b/>
          <w:color w:val="auto"/>
          <w:sz w:val="32"/>
          <w:szCs w:val="32"/>
          <w:lang w:val="en-US" w:eastAsia="zh-CN"/>
        </w:rPr>
        <w:t>山东华宇阀门有限公司手工黏土砂造型工序全封闭自动化提标改造项目</w:t>
      </w:r>
      <w:r>
        <w:rPr>
          <w:rFonts w:hint="default" w:cs="Times New Roman"/>
          <w:b/>
          <w:color w:val="auto"/>
          <w:sz w:val="32"/>
          <w:szCs w:val="32"/>
          <w:lang w:val="en-US" w:eastAsia="zh-CN"/>
        </w:rPr>
        <w:t>竣工环境保护验收现场检查及验收工作组</w:t>
      </w:r>
    </w:p>
    <w:p>
      <w:pPr>
        <w:tabs>
          <w:tab w:val="left" w:pos="0"/>
        </w:tabs>
        <w:spacing w:line="360" w:lineRule="auto"/>
        <w:ind w:left="16" w:leftChars="0" w:hanging="16" w:hangingChars="5"/>
        <w:jc w:val="center"/>
        <w:rPr>
          <w:rFonts w:hint="default" w:cs="Times New Roman"/>
          <w:b/>
          <w:color w:val="auto"/>
          <w:sz w:val="32"/>
          <w:szCs w:val="32"/>
          <w:lang w:val="en-US" w:eastAsia="zh-CN"/>
        </w:rPr>
      </w:pPr>
      <w:r>
        <w:rPr>
          <w:rFonts w:hint="default" w:cs="Times New Roman"/>
          <w:b/>
          <w:color w:val="auto"/>
          <w:sz w:val="32"/>
          <w:szCs w:val="32"/>
          <w:lang w:val="en-US" w:eastAsia="zh-CN"/>
        </w:rPr>
        <w:t>验收意见</w:t>
      </w:r>
    </w:p>
    <w:p>
      <w:pPr>
        <w:tabs>
          <w:tab w:val="left" w:pos="0"/>
        </w:tabs>
        <w:spacing w:line="240" w:lineRule="auto"/>
        <w:ind w:left="12" w:leftChars="0" w:hanging="12" w:hangingChars="5"/>
        <w:jc w:val="left"/>
        <w:rPr>
          <w:rFonts w:hint="default" w:ascii="Times New Roman" w:hAnsi="Times New Roman" w:eastAsia="宋体" w:cs="Times New Roman"/>
          <w:color w:val="auto"/>
          <w:sz w:val="24"/>
          <w:szCs w:val="24"/>
          <w:highlight w:val="none"/>
        </w:rPr>
      </w:pPr>
    </w:p>
    <w:p>
      <w:pPr>
        <w:tabs>
          <w:tab w:val="left" w:pos="0"/>
        </w:tabs>
        <w:spacing w:line="360" w:lineRule="auto"/>
        <w:ind w:firstLine="480" w:firstLineChars="200"/>
        <w:jc w:val="both"/>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2022年3月12日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山东华宇阀门有限公司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手工黏土砂造型工序全封闭自动化提标改造项目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山东华宇阀门有限公司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0"/>
        </w:tabs>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0"/>
        </w:tabs>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7"/>
        <w:numPr>
          <w:ilvl w:val="0"/>
          <w:numId w:val="0"/>
        </w:numPr>
        <w:spacing w:line="360" w:lineRule="auto"/>
        <w:ind w:firstLine="480" w:firstLineChars="20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kern w:val="2"/>
          <w:sz w:val="24"/>
          <w:szCs w:val="24"/>
          <w:highlight w:val="none"/>
          <w:lang w:val="en-US" w:eastAsia="zh-CN" w:bidi="ar-SA"/>
        </w:rPr>
        <w:t>山东华宇阀门有限公司位于山东省聊城市东昌府区嘉明经济开发区，坡舒村</w:t>
      </w:r>
      <w:r>
        <w:rPr>
          <w:rFonts w:hint="default" w:ascii="Times New Roman" w:hAnsi="Times New Roman" w:eastAsia="宋体" w:cs="Times New Roman"/>
          <w:color w:val="auto"/>
          <w:sz w:val="24"/>
          <w:szCs w:val="24"/>
          <w:lang w:eastAsia="zh-CN"/>
        </w:rPr>
        <w:t>南约500米，总占地面积11285.99平方米，主要进行阀门、机械配件的加工、销售，生产可达60万台阀门配件。</w:t>
      </w:r>
    </w:p>
    <w:p>
      <w:pPr>
        <w:pStyle w:val="7"/>
        <w:numPr>
          <w:ilvl w:val="0"/>
          <w:numId w:val="0"/>
        </w:numPr>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项目总投资190万元，将原有半自动人工造型线淘汰，升级改造为全自动机械化造型线，该项目属于《建设项目环境影响评价分类管理名录》中应当填报环境影响登记表的建设项目，属于第100脱硫、脱硝、除尘、VOCs治理等大气污染治理工程项中全部。本项目建设内容为全封闭手工翻砂造型设备，配备顶吸除尘；浇铸工序提升为定点浇铸，配备收尘处理设施；落砂工序增建封闭间，配备布袋除尘设备，风机功率22千瓦。本次验收范围主要为手工黏土砂造型工序全封闭自动化提标改造部分。</w:t>
      </w:r>
    </w:p>
    <w:p>
      <w:pPr>
        <w:tabs>
          <w:tab w:val="left" w:pos="0"/>
        </w:tabs>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山东华宇阀门有限公司于2017年11月委托中科森环企业管理（北京）有限公司编制完成了《山东华宇阀门有限公司年产120万台阀门配件及年产30万台泵体配件项目环境影响报告表》，2018年1月16日聊城市环境保护局东昌府分局以聊东环审[2018]25号对该项目进行批复，2018年7月委托山东聊和环保科技有限公司编制完成《山东华宇阀门有限公司年产120万台阀门配件及年产30万台泵体配件项目（一期，年产60万台阀门配件）竣工环保验收监测报告》，并于2018年7月23日通过验收工作组的验收。</w:t>
      </w:r>
    </w:p>
    <w:p>
      <w:pPr>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根据《关于同意山东华宇阀门有限公司、山东聊城汇源精铸有限公司开展无组织排放管控治理的批复意见》（聊东环发〔2020〕7号）、《关于印发〈聊城市2020年工业企业综合治理及重污染天气应急管控专项行动实施方案的通知〉》（聊气办发〔2020〕2号）以及相关环保要求，企业现场已提标改造、整改完毕，并对山东华宇阀门有限公司手工黏土砂造型工序全封闭自动化提标改造项目完成环境影响登记。</w:t>
      </w:r>
    </w:p>
    <w:p>
      <w:pPr>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2021年5月山东华宇阀门有限公司委托山东柒正检测技术有限公司于2021年05月19日-20日对该企业进行了项目检测。2022年2月公司委托山东绿和环保咨询有限公司进行本项目的环保验收工作，山东绿和环保咨询有限公司组织有关技术人员进行现场踏勘，根据验收监测结果和现场检查情况，山东绿和环保咨询有限公司编制了本项目验收监测报告。</w:t>
      </w:r>
    </w:p>
    <w:p>
      <w:pPr>
        <w:tabs>
          <w:tab w:val="left" w:pos="0"/>
        </w:tabs>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0"/>
        </w:tabs>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190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190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100</w:t>
      </w:r>
      <w:r>
        <w:rPr>
          <w:rFonts w:hint="default" w:ascii="Times New Roman" w:hAnsi="Times New Roman" w:eastAsia="宋体" w:cs="Times New Roman"/>
          <w:color w:val="auto"/>
          <w:sz w:val="24"/>
          <w:szCs w:val="24"/>
        </w:rPr>
        <w:t>％。</w:t>
      </w:r>
    </w:p>
    <w:p>
      <w:pPr>
        <w:tabs>
          <w:tab w:val="left" w:pos="0"/>
        </w:tabs>
        <w:spacing w:line="360" w:lineRule="auto"/>
        <w:ind w:left="10" w:leftChars="5" w:firstLine="408" w:firstLineChars="17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0"/>
        </w:tabs>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本次验收范围主要为手工黏土砂造型工序全封闭自动化提标改造部分。</w:t>
      </w:r>
    </w:p>
    <w:p>
      <w:pPr>
        <w:tabs>
          <w:tab w:val="left" w:pos="0"/>
        </w:tabs>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建设项目环境影响登记表，项目生产性质、生产规模、生产地点、生产工艺及环保设施均无明显变动，根据《关于印发污染影响类建设项目重大变动清单（试行）的通知》环办环评函〔2020〕688号，项目不涉及重大变更。</w:t>
      </w:r>
    </w:p>
    <w:p>
      <w:pPr>
        <w:tabs>
          <w:tab w:val="left" w:pos="0"/>
        </w:tabs>
        <w:spacing w:line="360" w:lineRule="auto"/>
        <w:ind w:firstLine="480" w:firstLineChars="200"/>
        <w:jc w:val="both"/>
        <w:rPr>
          <w:rFonts w:hint="default" w:ascii="Times New Roman" w:hAnsi="Times New Roman" w:eastAsia="宋体" w:cs="Times New Roman"/>
          <w:color w:val="auto"/>
          <w:sz w:val="24"/>
          <w:szCs w:val="24"/>
        </w:rPr>
      </w:pPr>
      <w:r>
        <w:rPr>
          <w:rFonts w:hint="eastAsia" w:cs="Times New Roman"/>
          <w:color w:val="auto"/>
          <w:sz w:val="24"/>
          <w:szCs w:val="24"/>
          <w:lang w:eastAsia="zh-CN"/>
        </w:rPr>
        <w:t>三、</w:t>
      </w:r>
      <w:r>
        <w:rPr>
          <w:rFonts w:hint="default" w:ascii="Times New Roman" w:hAnsi="Times New Roman" w:eastAsia="宋体" w:cs="Times New Roman"/>
          <w:color w:val="auto"/>
          <w:sz w:val="24"/>
          <w:szCs w:val="24"/>
        </w:rPr>
        <w:t>环境保护设施落实情况</w:t>
      </w:r>
    </w:p>
    <w:p>
      <w:pPr>
        <w:widowControl/>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电炉运行过程中需要用冷却水，冷却水全部循环使用，仅需定期补充损耗量；潮模砂混砂工序中用水全部损耗；故本项目无生产废水产生。本项目依托原有劳动定员，未新增生活污水。因此，本项目无废水产生。</w:t>
      </w:r>
    </w:p>
    <w:p>
      <w:pPr>
        <w:widowControl/>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本项目废气主要为熔炼、混砂、落砂、破膜、抛丸工序中产生的颗粒物及造型、浇铸工序中产生的颗粒物、VOCs、甲醛、酚类。</w:t>
      </w:r>
    </w:p>
    <w:p>
      <w:p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本项目废气熔炼、混砂、落砂、破膜、抛丸工序中产生的颗粒物经集气罩收集，通过“袋式除尘器”处理后由一根15m高的排气筒P1排放。</w:t>
      </w:r>
    </w:p>
    <w:p>
      <w:p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本项目造型、浇铸工序中产生的颗粒物、VOCs、甲醛、酚类经集气罩收集，经“袋式除尘器+UV光氧装置+活性炭吸附装置”处理后由一根15m高的排气筒P2排放。 </w:t>
      </w:r>
    </w:p>
    <w:p>
      <w:p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未被收集的废气经车间通风后无组织排放。</w:t>
      </w:r>
    </w:p>
    <w:p>
      <w:p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本次提标改造内容主要包括：</w:t>
      </w:r>
    </w:p>
    <w:p>
      <w:p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（1）将原来人工混砂进行提升改造，新建输送式振动落砂机，密闭车间，并将落砂、破膜工序产生的颗粒物进行收集，通过袋式除尘器处理后由一根15m高的排气筒P1排放；</w:t>
      </w:r>
    </w:p>
    <w:p>
      <w:p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（2）将人工造型进行提升改造，新建全自动台式造型生产线，选用全封闭手工翻砂造型设备，环保设施由原“UV光氧催化装置”优化为“袋式除尘器+UV光氧装置+活性炭吸附装置”；</w:t>
      </w:r>
    </w:p>
    <w:p>
      <w:p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w:t>
      </w:r>
      <w:r>
        <w:rPr>
          <w:rFonts w:hint="eastAsia" w:eastAsia="宋体" w:cs="Times New Roman"/>
          <w:snapToGrid w:val="0"/>
          <w:color w:val="auto"/>
          <w:kern w:val="0"/>
          <w:sz w:val="24"/>
          <w:szCs w:val="24"/>
          <w:lang w:val="en-US" w:eastAsia="zh-CN"/>
        </w:rPr>
        <w:t>3</w:t>
      </w:r>
      <w:r>
        <w:rPr>
          <w:rFonts w:hint="default" w:ascii="Times New Roman" w:hAnsi="Times New Roman" w:eastAsia="宋体" w:cs="Times New Roman"/>
          <w:snapToGrid w:val="0"/>
          <w:color w:val="auto"/>
          <w:kern w:val="0"/>
          <w:sz w:val="24"/>
          <w:szCs w:val="24"/>
          <w:lang w:val="en-US" w:eastAsia="zh-CN"/>
        </w:rPr>
        <w:t>）浇铸工序现采取全封闭，环保设施由原“UV光氧催化装置”优化为“袋式除尘器+UV光氧装置+活性炭吸附装置”；</w:t>
      </w:r>
    </w:p>
    <w:p>
      <w:p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w:t>
      </w:r>
      <w:r>
        <w:rPr>
          <w:rFonts w:hint="eastAsia" w:eastAsia="宋体" w:cs="Times New Roman"/>
          <w:snapToGrid w:val="0"/>
          <w:color w:val="auto"/>
          <w:kern w:val="0"/>
          <w:sz w:val="24"/>
          <w:szCs w:val="24"/>
          <w:lang w:val="en-US" w:eastAsia="zh-CN"/>
        </w:rPr>
        <w:t>4</w:t>
      </w:r>
      <w:r>
        <w:rPr>
          <w:rFonts w:hint="default" w:ascii="Times New Roman" w:hAnsi="Times New Roman" w:eastAsia="宋体" w:cs="Times New Roman"/>
          <w:snapToGrid w:val="0"/>
          <w:color w:val="auto"/>
          <w:kern w:val="0"/>
          <w:sz w:val="24"/>
          <w:szCs w:val="24"/>
          <w:lang w:val="en-US" w:eastAsia="zh-CN"/>
        </w:rPr>
        <w:t>）皮带传输优化为封闭式皮带传输。</w:t>
      </w:r>
    </w:p>
    <w:p>
      <w:p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本项目噪声主要为各种生产设备在运行时产生的噪声。通过选用低噪声设备、合理布局、基础减振、距离衰减、厂区内种植高大树木等综合控制等措施，降低对外环境的影响。 </w:t>
      </w:r>
    </w:p>
    <w:p>
      <w:pPr>
        <w:spacing w:line="360" w:lineRule="auto"/>
        <w:ind w:firstLine="480" w:firstLineChars="20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firstLine="480" w:firstLineChars="200"/>
        <w:jc w:val="both"/>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废砂集中收集后由厂家回收；集尘集中收集后由环卫部门清运；废布袋集中收集后外售；废UV灯管和废活性炭均属于危险废物，集中收集后暂存于危废储存间，并交由有危废资质的单位处置。生活垃圾集中收集后由环卫部门统一处理。</w:t>
      </w:r>
      <w:r>
        <w:rPr>
          <w:rFonts w:hint="default" w:ascii="Times New Roman" w:hAnsi="Times New Roman" w:eastAsia="宋体" w:cs="Times New Roman"/>
          <w:snapToGrid w:val="0"/>
          <w:color w:val="auto"/>
          <w:kern w:val="0"/>
          <w:sz w:val="24"/>
          <w:szCs w:val="24"/>
          <w:lang w:val="en-US" w:eastAsia="zh-CN" w:bidi="ar-SA"/>
        </w:rPr>
        <w:br w:type="textWrapping"/>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山东华宇阀门有限公司手工黏土砂造型工序全封闭自动化提标改造项目</w:t>
      </w:r>
      <w:r>
        <w:rPr>
          <w:rFonts w:hint="default" w:ascii="Times New Roman" w:hAnsi="Times New Roman" w:eastAsia="宋体" w:cs="Times New Roman"/>
          <w:color w:val="auto"/>
          <w:sz w:val="24"/>
          <w:szCs w:val="24"/>
        </w:rPr>
        <w:t>竣工环境保护验收监测报告》监测结果表明：</w:t>
      </w:r>
    </w:p>
    <w:p>
      <w:pPr>
        <w:spacing w:line="360" w:lineRule="auto"/>
        <w:ind w:firstLine="480" w:firstLineChars="200"/>
        <w:jc w:val="both"/>
        <w:rPr>
          <w:rFonts w:hint="default" w:cs="Times New Roman"/>
          <w:color w:val="auto"/>
          <w:sz w:val="24"/>
          <w:szCs w:val="24"/>
          <w:lang w:val="en-US" w:eastAsia="zh-CN"/>
        </w:rPr>
      </w:pPr>
      <w:r>
        <w:rPr>
          <w:rFonts w:hint="eastAsia" w:cs="Times New Roman"/>
          <w:color w:val="auto"/>
          <w:sz w:val="24"/>
          <w:szCs w:val="24"/>
          <w:lang w:val="en-US" w:eastAsia="zh-CN"/>
        </w:rPr>
        <w:t>1.</w:t>
      </w:r>
      <w:r>
        <w:rPr>
          <w:rFonts w:hint="default" w:cs="Times New Roman"/>
          <w:color w:val="auto"/>
          <w:sz w:val="24"/>
          <w:szCs w:val="24"/>
          <w:lang w:val="en-US" w:eastAsia="zh-CN"/>
        </w:rPr>
        <w:t>废</w:t>
      </w:r>
      <w:r>
        <w:rPr>
          <w:rFonts w:hint="eastAsia" w:cs="Times New Roman"/>
          <w:color w:val="auto"/>
          <w:sz w:val="24"/>
          <w:szCs w:val="24"/>
          <w:lang w:val="en-US" w:eastAsia="zh-CN"/>
        </w:rPr>
        <w:t>水</w:t>
      </w:r>
    </w:p>
    <w:p>
      <w:pPr>
        <w:spacing w:line="360" w:lineRule="auto"/>
        <w:ind w:firstLine="480" w:firstLineChars="200"/>
        <w:jc w:val="both"/>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cs="Times New Roman"/>
          <w:color w:val="auto"/>
          <w:sz w:val="24"/>
          <w:szCs w:val="24"/>
          <w:lang w:val="en-US" w:eastAsia="zh-CN"/>
        </w:rPr>
        <w:t>。</w:t>
      </w:r>
    </w:p>
    <w:p>
      <w:pPr>
        <w:numPr>
          <w:ilvl w:val="0"/>
          <w:numId w:val="0"/>
        </w:numPr>
        <w:spacing w:line="360" w:lineRule="auto"/>
        <w:ind w:firstLine="480" w:firstLineChars="200"/>
        <w:jc w:val="both"/>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验收监测期间，P1排气筒有组织颗粒物最高排放浓度为5.8mg/m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，排放速率最高为2.5×10</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kg/h，满足《区域性大气污染物综合排放标准》（DB37/2376-2019）中表1中“重点控制区”标准以及《大气污染物综合排放标准》（GB16297-1996）表2二级标准。</w:t>
      </w:r>
    </w:p>
    <w:p>
      <w:pPr>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P2排气筒有组织颗粒物、VOCs、甲醛、酚类的最大排放浓度分别为5.7mg/m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、0.770mg/m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、2.7mg/m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、22mg/m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，均满足《区域性大气污染物综合排放标准》表1中“重点控制区”、《挥发性有机物排放标准第7部分：其他行业》表1、《大气污染物综合排放标准》表2浓度限值要求；最大排放速率分别为1.7×10</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kg/h、2.1×10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kg/h、7.7×10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kg/h、6.4×10</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kg/h，均满足《大气污染物综合排放标准》表2、《挥发性有机物排放标准第7部分：其他行业》表1速率限值要求。</w:t>
      </w:r>
    </w:p>
    <w:p>
      <w:pPr>
        <w:spacing w:line="360" w:lineRule="auto"/>
        <w:ind w:firstLine="480" w:firstLineChars="200"/>
        <w:jc w:val="both"/>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无组织颗粒物、VOCs、甲醛、酚类小时浓度最高为0.275mg/m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、0.194mg/m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、0.024mg/m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、0.06mg/m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，均满足《大气污染物综合排放标准》表2、《挥发性有机物排放标准第7部分：其他行业》表2无组织排放浓度限值要求。</w:t>
      </w:r>
    </w:p>
    <w:p>
      <w:pPr>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.噪声</w:t>
      </w:r>
    </w:p>
    <w:p>
      <w:pPr>
        <w:spacing w:line="360" w:lineRule="auto"/>
        <w:ind w:firstLine="480" w:firstLineChars="200"/>
        <w:jc w:val="both"/>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验收监测期间，监测点位昼间噪声在57.3-57.6(dB)之间，监测点位夜间噪声在47.1-47.2(dB)之间，符合《工业企业厂界环境噪声排放标准》（GB12348－2008）中的3类标准限值。</w:t>
      </w:r>
    </w:p>
    <w:p>
      <w:pPr>
        <w:numPr>
          <w:ilvl w:val="0"/>
          <w:numId w:val="0"/>
        </w:numPr>
        <w:spacing w:line="360" w:lineRule="auto"/>
        <w:ind w:firstLine="480" w:firstLineChars="200"/>
        <w:jc w:val="both"/>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4.</w:t>
      </w:r>
      <w:r>
        <w:rPr>
          <w:rFonts w:hint="default" w:ascii="Times New Roman" w:hAnsi="Times New Roman" w:eastAsia="宋体" w:cs="Times New Roman"/>
          <w:color w:val="auto"/>
          <w:sz w:val="24"/>
          <w:szCs w:val="24"/>
        </w:rPr>
        <w:t>固体废物</w:t>
      </w:r>
    </w:p>
    <w:p>
      <w:pPr>
        <w:spacing w:line="360" w:lineRule="auto"/>
        <w:ind w:firstLine="480" w:firstLineChars="200"/>
        <w:jc w:val="both"/>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firstLine="480" w:firstLineChars="200"/>
        <w:jc w:val="both"/>
        <w:rPr>
          <w:rFonts w:hint="default" w:ascii="Times New Roman" w:hAnsi="Times New Roman" w:eastAsia="宋体" w:cs="Times New Roman"/>
          <w:color w:val="auto"/>
          <w:sz w:val="24"/>
          <w:szCs w:val="24"/>
        </w:rPr>
      </w:pPr>
      <w:r>
        <w:rPr>
          <w:rFonts w:hint="eastAsia" w:cs="Times New Roman"/>
          <w:color w:val="auto"/>
          <w:sz w:val="24"/>
          <w:szCs w:val="24"/>
          <w:lang w:eastAsia="zh-CN"/>
        </w:rPr>
        <w:t>山东华宇阀门有限公司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山东华宇阀门有限公司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rPr>
          <w:rFonts w:hint="eastAsia" w:cs="Times New Roman"/>
          <w:color w:val="auto"/>
          <w:sz w:val="24"/>
          <w:szCs w:val="24"/>
          <w:lang w:eastAsia="zh-CN"/>
        </w:rPr>
      </w:pPr>
      <w:r>
        <w:rPr>
          <w:rFonts w:hint="eastAsia" w:cs="Times New Roman"/>
          <w:color w:val="auto"/>
          <w:sz w:val="24"/>
          <w:szCs w:val="24"/>
          <w:lang w:eastAsia="zh-CN"/>
        </w:rPr>
        <w:br w:type="page"/>
      </w:r>
    </w:p>
    <w:p>
      <w:pPr>
        <w:numPr>
          <w:ilvl w:val="0"/>
          <w:numId w:val="0"/>
        </w:numPr>
        <w:spacing w:line="360" w:lineRule="auto"/>
        <w:ind w:firstLine="480" w:firstLineChars="200"/>
        <w:jc w:val="both"/>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firstLine="480" w:firstLineChars="200"/>
        <w:jc w:val="both"/>
        <w:rPr>
          <w:rFonts w:hint="eastAsia" w:cs="Times New Roman"/>
          <w:color w:val="auto"/>
          <w:sz w:val="24"/>
          <w:szCs w:val="24"/>
          <w:lang w:val="en-US" w:eastAsia="zh-CN"/>
        </w:rPr>
      </w:pPr>
      <w:r>
        <w:rPr>
          <w:rFonts w:hint="eastAsia" w:cs="Times New Roman"/>
          <w:color w:val="auto"/>
          <w:sz w:val="24"/>
          <w:szCs w:val="24"/>
          <w:lang w:val="en-US" w:eastAsia="zh-CN"/>
        </w:rPr>
        <w:t>1、提高落砂工序废气收集效率，建议将落砂机上料斗三面封闭；</w:t>
      </w:r>
    </w:p>
    <w:p>
      <w:pPr>
        <w:spacing w:line="360" w:lineRule="auto"/>
        <w:ind w:firstLine="480" w:firstLineChars="200"/>
        <w:jc w:val="both"/>
        <w:rPr>
          <w:rFonts w:hint="eastAsia" w:cs="Times New Roman"/>
          <w:color w:val="auto"/>
          <w:sz w:val="24"/>
          <w:szCs w:val="24"/>
          <w:lang w:val="en-US" w:eastAsia="zh-CN"/>
        </w:rPr>
      </w:pPr>
      <w:r>
        <w:rPr>
          <w:rFonts w:hint="eastAsia" w:cs="Times New Roman"/>
          <w:color w:val="auto"/>
          <w:sz w:val="24"/>
          <w:szCs w:val="24"/>
          <w:lang w:val="en-US" w:eastAsia="zh-CN"/>
        </w:rPr>
        <w:t>2、传送带进一步密闭；</w:t>
      </w:r>
    </w:p>
    <w:p>
      <w:pPr>
        <w:spacing w:line="360" w:lineRule="auto"/>
        <w:ind w:firstLine="480" w:firstLineChars="200"/>
        <w:jc w:val="both"/>
        <w:rPr>
          <w:rFonts w:hint="default" w:cs="Times New Roman"/>
          <w:color w:val="auto"/>
          <w:sz w:val="24"/>
          <w:szCs w:val="24"/>
          <w:lang w:val="en-US" w:eastAsia="zh-CN"/>
        </w:rPr>
      </w:pPr>
      <w:r>
        <w:rPr>
          <w:rFonts w:hint="eastAsia" w:cs="Times New Roman"/>
          <w:color w:val="auto"/>
          <w:sz w:val="24"/>
          <w:szCs w:val="24"/>
          <w:lang w:val="en-US" w:eastAsia="zh-CN"/>
        </w:rPr>
        <w:t>3、建议将造型、浇铸工序废气（</w:t>
      </w:r>
      <w:r>
        <w:rPr>
          <w:rFonts w:hint="default" w:ascii="Times New Roman" w:hAnsi="Times New Roman" w:eastAsia="宋体" w:cs="Times New Roman"/>
          <w:snapToGrid w:val="0"/>
          <w:color w:val="auto"/>
          <w:kern w:val="0"/>
          <w:sz w:val="24"/>
          <w:szCs w:val="24"/>
          <w:lang w:val="en-US" w:eastAsia="zh-CN"/>
        </w:rPr>
        <w:t>颗粒物、VOCs、甲醛、酚类</w:t>
      </w:r>
      <w:r>
        <w:rPr>
          <w:rFonts w:hint="eastAsia" w:cs="Times New Roman"/>
          <w:color w:val="auto"/>
          <w:sz w:val="24"/>
          <w:szCs w:val="24"/>
          <w:lang w:val="en-US" w:eastAsia="zh-CN"/>
        </w:rPr>
        <w:t xml:space="preserve">）收集管道与落砂等工序废气（颗粒物）收集管道分开，保证废气可有效收集、处理； </w:t>
      </w:r>
    </w:p>
    <w:p>
      <w:pPr>
        <w:numPr>
          <w:ilvl w:val="0"/>
          <w:numId w:val="0"/>
        </w:numPr>
        <w:spacing w:line="360" w:lineRule="auto"/>
        <w:ind w:firstLine="480" w:firstLineChars="200"/>
        <w:jc w:val="both"/>
        <w:rPr>
          <w:rFonts w:hint="eastAsia" w:cs="Times New Roman"/>
          <w:color w:val="auto"/>
          <w:sz w:val="24"/>
          <w:szCs w:val="24"/>
          <w:lang w:eastAsia="zh-CN"/>
        </w:rPr>
      </w:pPr>
      <w:r>
        <w:rPr>
          <w:rFonts w:hint="eastAsia" w:cs="Times New Roman"/>
          <w:color w:val="auto"/>
          <w:sz w:val="24"/>
          <w:szCs w:val="24"/>
          <w:lang w:val="en-US" w:eastAsia="zh-CN"/>
        </w:rPr>
        <w:t>4、定期检查废气收集设施的运行情况</w:t>
      </w:r>
      <w:r>
        <w:rPr>
          <w:rFonts w:hint="default" w:ascii="Times New Roman" w:hAnsi="Times New Roman" w:eastAsia="宋体" w:cs="Times New Roman"/>
          <w:color w:val="auto"/>
          <w:kern w:val="2"/>
          <w:sz w:val="24"/>
          <w:szCs w:val="24"/>
          <w:lang w:val="en-US" w:eastAsia="zh-CN" w:bidi="ar-SA"/>
        </w:rPr>
        <w:t>。</w:t>
      </w:r>
    </w:p>
    <w:p>
      <w:pPr>
        <w:spacing w:line="360" w:lineRule="auto"/>
        <w:ind w:firstLine="480" w:firstLineChars="200"/>
        <w:jc w:val="both"/>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jc w:val="right"/>
        <w:rPr>
          <w:rFonts w:hint="eastAsia" w:cs="Times New Roman"/>
          <w:b/>
          <w:bCs/>
          <w:color w:val="auto"/>
          <w:sz w:val="24"/>
          <w:szCs w:val="24"/>
          <w:lang w:eastAsia="zh-CN"/>
        </w:rPr>
      </w:pPr>
      <w:bookmarkStart w:id="0" w:name="_GoBack"/>
      <w:bookmarkEnd w:id="0"/>
    </w:p>
    <w:p>
      <w:pPr>
        <w:spacing w:line="360" w:lineRule="auto"/>
        <w:jc w:val="right"/>
        <w:rPr>
          <w:rFonts w:hint="eastAsia" w:cs="Times New Roman"/>
          <w:b/>
          <w:bCs/>
          <w:color w:val="auto"/>
          <w:sz w:val="24"/>
          <w:szCs w:val="24"/>
          <w:lang w:eastAsia="zh-CN"/>
        </w:rPr>
      </w:pPr>
      <w:r>
        <w:rPr>
          <w:rFonts w:hint="eastAsia" w:cs="Times New Roman"/>
          <w:b/>
          <w:bCs/>
          <w:color w:val="auto"/>
          <w:sz w:val="24"/>
          <w:szCs w:val="24"/>
          <w:lang w:eastAsia="zh-CN"/>
        </w:rPr>
        <w:t>山东华宇阀门有限公司验收组</w:t>
      </w:r>
    </w:p>
    <w:p>
      <w:pPr>
        <w:spacing w:line="360" w:lineRule="auto"/>
        <w:jc w:val="right"/>
        <w:rPr>
          <w:rFonts w:hint="default"/>
          <w:lang w:eastAsia="zh-CN"/>
        </w:rPr>
      </w:pPr>
      <w:r>
        <w:rPr>
          <w:rFonts w:hint="eastAsia" w:cs="Times New Roman"/>
          <w:b/>
          <w:bCs/>
          <w:color w:val="auto"/>
          <w:sz w:val="24"/>
          <w:szCs w:val="24"/>
          <w:highlight w:val="none"/>
          <w:lang w:eastAsia="zh-CN"/>
        </w:rPr>
        <w:t>2022年3月12日</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03B8"/>
    <w:rsid w:val="01A67464"/>
    <w:rsid w:val="02E1230E"/>
    <w:rsid w:val="0363342C"/>
    <w:rsid w:val="0400088B"/>
    <w:rsid w:val="06DC5C52"/>
    <w:rsid w:val="0705220E"/>
    <w:rsid w:val="07E235D4"/>
    <w:rsid w:val="0A775B6C"/>
    <w:rsid w:val="0BB105F9"/>
    <w:rsid w:val="0BCD78E3"/>
    <w:rsid w:val="0BD4352F"/>
    <w:rsid w:val="0C9D7A18"/>
    <w:rsid w:val="0D002E61"/>
    <w:rsid w:val="0E5530FA"/>
    <w:rsid w:val="0E9F521D"/>
    <w:rsid w:val="0FD64E9F"/>
    <w:rsid w:val="110D6D4E"/>
    <w:rsid w:val="12BE4513"/>
    <w:rsid w:val="13242E95"/>
    <w:rsid w:val="14A230EF"/>
    <w:rsid w:val="17073D8B"/>
    <w:rsid w:val="188E6607"/>
    <w:rsid w:val="18B2210E"/>
    <w:rsid w:val="18D05E89"/>
    <w:rsid w:val="19BD6A9B"/>
    <w:rsid w:val="1AAF6CA7"/>
    <w:rsid w:val="1B753DC5"/>
    <w:rsid w:val="1B7C7285"/>
    <w:rsid w:val="1BAC68BE"/>
    <w:rsid w:val="1BB23E72"/>
    <w:rsid w:val="1CB626A7"/>
    <w:rsid w:val="1DF30D46"/>
    <w:rsid w:val="1E9D1B02"/>
    <w:rsid w:val="20F95110"/>
    <w:rsid w:val="21E62141"/>
    <w:rsid w:val="23253252"/>
    <w:rsid w:val="24DD3549"/>
    <w:rsid w:val="27420539"/>
    <w:rsid w:val="27776D4F"/>
    <w:rsid w:val="284C33EF"/>
    <w:rsid w:val="286B6E9D"/>
    <w:rsid w:val="28A10D60"/>
    <w:rsid w:val="2BD129D7"/>
    <w:rsid w:val="2BFB35B9"/>
    <w:rsid w:val="2C8345D6"/>
    <w:rsid w:val="2DE61E9D"/>
    <w:rsid w:val="2E594393"/>
    <w:rsid w:val="31572BC2"/>
    <w:rsid w:val="337178B1"/>
    <w:rsid w:val="33E80446"/>
    <w:rsid w:val="35A21894"/>
    <w:rsid w:val="35CA7C00"/>
    <w:rsid w:val="36292142"/>
    <w:rsid w:val="371221B6"/>
    <w:rsid w:val="38213D1C"/>
    <w:rsid w:val="395656FC"/>
    <w:rsid w:val="3A002C99"/>
    <w:rsid w:val="3AD84511"/>
    <w:rsid w:val="3B2962D5"/>
    <w:rsid w:val="3B9345B4"/>
    <w:rsid w:val="3C495586"/>
    <w:rsid w:val="3C614E95"/>
    <w:rsid w:val="3D216C63"/>
    <w:rsid w:val="3D481CA9"/>
    <w:rsid w:val="3E7D0FBB"/>
    <w:rsid w:val="3EF115E1"/>
    <w:rsid w:val="407E79EC"/>
    <w:rsid w:val="425A3055"/>
    <w:rsid w:val="42D02360"/>
    <w:rsid w:val="42ED0B8D"/>
    <w:rsid w:val="440B2C50"/>
    <w:rsid w:val="45B12AB5"/>
    <w:rsid w:val="46440069"/>
    <w:rsid w:val="483D5E39"/>
    <w:rsid w:val="4BC32318"/>
    <w:rsid w:val="4CF47C94"/>
    <w:rsid w:val="4D966CB6"/>
    <w:rsid w:val="5075222B"/>
    <w:rsid w:val="51603323"/>
    <w:rsid w:val="51800668"/>
    <w:rsid w:val="52082039"/>
    <w:rsid w:val="520B1012"/>
    <w:rsid w:val="53D87E59"/>
    <w:rsid w:val="56DD1623"/>
    <w:rsid w:val="584674DB"/>
    <w:rsid w:val="59632F9B"/>
    <w:rsid w:val="59772D6C"/>
    <w:rsid w:val="5B994AD0"/>
    <w:rsid w:val="5BB97A85"/>
    <w:rsid w:val="5C705EEE"/>
    <w:rsid w:val="5D580A9C"/>
    <w:rsid w:val="5F0C4CFF"/>
    <w:rsid w:val="602A22C2"/>
    <w:rsid w:val="64C4763E"/>
    <w:rsid w:val="65826A80"/>
    <w:rsid w:val="66FB5067"/>
    <w:rsid w:val="68A1024B"/>
    <w:rsid w:val="6A4209DB"/>
    <w:rsid w:val="6ABA50EB"/>
    <w:rsid w:val="6DEB0CC4"/>
    <w:rsid w:val="6E620EC2"/>
    <w:rsid w:val="70346B17"/>
    <w:rsid w:val="70FA12EC"/>
    <w:rsid w:val="72964393"/>
    <w:rsid w:val="72C90F73"/>
    <w:rsid w:val="7593546D"/>
    <w:rsid w:val="75C3338A"/>
    <w:rsid w:val="76AB541C"/>
    <w:rsid w:val="77930543"/>
    <w:rsid w:val="7AF97D9F"/>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Plain Text"/>
    <w:basedOn w:val="1"/>
    <w:next w:val="3"/>
    <w:unhideWhenUsed/>
    <w:qFormat/>
    <w:uiPriority w:val="99"/>
    <w:rPr>
      <w:rFonts w:ascii="宋体" w:hAnsi="Courier New" w:cs="Courier New"/>
      <w:szCs w:val="21"/>
    </w:rPr>
  </w:style>
  <w:style w:type="paragraph" w:styleId="3">
    <w:name w:val="Body Text Indent"/>
    <w:basedOn w:val="1"/>
    <w:next w:val="4"/>
    <w:qFormat/>
    <w:uiPriority w:val="0"/>
    <w:pPr>
      <w:ind w:right="-100" w:firstLine="560" w:firstLineChars="200"/>
    </w:pPr>
    <w:rPr>
      <w:sz w:val="28"/>
    </w:rPr>
  </w:style>
  <w:style w:type="paragraph" w:styleId="4">
    <w:name w:val="header"/>
    <w:basedOn w:val="1"/>
    <w:next w:val="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5">
    <w:name w:val="样式5"/>
    <w:basedOn w:val="6"/>
    <w:qFormat/>
    <w:uiPriority w:val="0"/>
    <w:pPr>
      <w:snapToGrid w:val="0"/>
      <w:spacing w:line="360" w:lineRule="auto"/>
      <w:ind w:firstLine="510"/>
    </w:pPr>
    <w:rPr>
      <w:sz w:val="24"/>
    </w:rPr>
  </w:style>
  <w:style w:type="paragraph" w:customStyle="1" w:styleId="6">
    <w:name w:val="正文1"/>
    <w:basedOn w:val="1"/>
    <w:next w:val="1"/>
    <w:qFormat/>
    <w:uiPriority w:val="0"/>
    <w:pPr>
      <w:jc w:val="center"/>
    </w:pPr>
    <w:rPr>
      <w:rFonts w:ascii="宋体" w:hAnsi="宋体"/>
      <w:kern w:val="36"/>
    </w:rPr>
  </w:style>
  <w:style w:type="paragraph" w:styleId="7">
    <w:name w:val="annotation text"/>
    <w:basedOn w:val="1"/>
    <w:unhideWhenUsed/>
    <w:qFormat/>
    <w:uiPriority w:val="99"/>
    <w:pPr>
      <w:jc w:val="left"/>
    </w:pPr>
  </w:style>
  <w:style w:type="paragraph" w:styleId="8">
    <w:name w:val="Body Text"/>
    <w:basedOn w:val="1"/>
    <w:next w:val="9"/>
    <w:qFormat/>
    <w:uiPriority w:val="0"/>
    <w:pPr>
      <w:spacing w:after="120"/>
    </w:pPr>
  </w:style>
  <w:style w:type="paragraph" w:styleId="9">
    <w:name w:val="Date"/>
    <w:basedOn w:val="1"/>
    <w:next w:val="1"/>
    <w:qFormat/>
    <w:uiPriority w:val="0"/>
    <w:pPr>
      <w:ind w:left="100" w:leftChars="2500"/>
    </w:pPr>
    <w:rPr>
      <w:rFonts w:ascii="宋体" w:hAnsi="宋体"/>
      <w:szCs w:val="24"/>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footer"/>
    <w:basedOn w:val="1"/>
    <w:qFormat/>
    <w:uiPriority w:val="0"/>
    <w:pPr>
      <w:tabs>
        <w:tab w:val="center" w:pos="4153"/>
        <w:tab w:val="right" w:pos="8306"/>
      </w:tabs>
      <w:snapToGrid w:val="0"/>
      <w:jc w:val="left"/>
    </w:pPr>
    <w:rPr>
      <w:sz w:val="18"/>
    </w:r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li_正文"/>
    <w:basedOn w:val="1"/>
    <w:qFormat/>
    <w:uiPriority w:val="0"/>
    <w:pPr>
      <w:ind w:firstLine="200" w:firstLineChars="200"/>
      <w:jc w:val="left"/>
    </w:pPr>
    <w:rPr>
      <w:rFonts w:ascii="Calibri" w:hAnsi="Calibri" w:eastAsia="宋体" w:cs="Times New Roman"/>
      <w:sz w:val="28"/>
      <w:szCs w:val="28"/>
    </w:r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2022-03-19T06:27:50Z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5F3E9D957CC14E9F938D06946CE12F19</vt:lpwstr>
  </property>
</Properties>
</file>