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spacing w:line="360" w:lineRule="auto"/>
        <w:ind w:left="-3" w:leftChars="0" w:firstLine="3"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山东聊城汇源精铸有限公司覆膜砂壳型铸造工艺产污环节全封闭自动化提升改造项目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0"/>
        </w:tabs>
        <w:spacing w:line="360" w:lineRule="auto"/>
        <w:ind w:firstLine="480" w:firstLineChars="200"/>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2022年3月19日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山东聊城汇源精铸有限公司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覆膜砂壳型铸造工艺产污环节全封闭自动化提升改造项目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山东聊城汇源精铸有限公司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检测单位（山东聊和环保科技有限公司）、验收报告编制单位（山东绿和环保咨询有限公司）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13" w:leftChars="6" w:firstLine="405" w:firstLineChars="169"/>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山东聊城汇源精铸有限公司位于聊城市东昌府区道口铺街道办事处下堤村，总占地面积10000平方米，建设年产12000吨机械毛坯铸件项目。</w:t>
      </w:r>
    </w:p>
    <w:p>
      <w:pPr>
        <w:pStyle w:val="3"/>
        <w:numPr>
          <w:ilvl w:val="0"/>
          <w:numId w:val="0"/>
        </w:numPr>
        <w:spacing w:line="360" w:lineRule="auto"/>
        <w:ind w:left="13" w:leftChars="6" w:firstLine="405" w:firstLineChars="16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总投资130万元，建设内容主要为覆膜砂壳型产污工序提升改造，对浇铸工部、落砂工部、固废收集工部进行固定式、封闭化，配建收尘处理设备。浇铸工部配备一台280袋除尘器，22千瓦电机；落砂工部配备一台300袋除尘器，37千瓦电机；对砂箱转移方式提升改造。该项目属于《建设项目环境影响评价分类管理名录》中应当填报环境影响登记表的建设项目，属于第100脱硫、脱硝、除尘、VOCs治理等大气污染治理工程项中全部。本次验收范围主要为</w:t>
      </w:r>
      <w:r>
        <w:rPr>
          <w:rFonts w:hint="eastAsia" w:ascii="Times New Roman" w:hAnsi="Times New Roman" w:eastAsia="宋体" w:cs="Times New Roman"/>
          <w:color w:val="auto"/>
          <w:kern w:val="0"/>
          <w:sz w:val="24"/>
          <w:szCs w:val="24"/>
          <w:lang w:eastAsia="zh-CN" w:bidi="ar"/>
        </w:rPr>
        <w:t>覆膜砂壳型铸造工艺产污环节全封闭自动化提升改造部分，位于厂区铸一车间</w:t>
      </w:r>
      <w:r>
        <w:rPr>
          <w:rFonts w:hint="default" w:ascii="Times New Roman" w:hAnsi="Times New Roman" w:eastAsia="宋体" w:cs="Times New Roman"/>
          <w:color w:val="auto"/>
          <w:sz w:val="24"/>
          <w:szCs w:val="24"/>
          <w:lang w:eastAsia="zh-CN"/>
        </w:rPr>
        <w:t>。</w:t>
      </w:r>
    </w:p>
    <w:p>
      <w:pPr>
        <w:tabs>
          <w:tab w:val="left" w:pos="0"/>
        </w:tabs>
        <w:spacing w:line="360" w:lineRule="auto"/>
        <w:ind w:left="13" w:leftChars="6" w:firstLine="405" w:firstLineChars="169"/>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13" w:leftChars="6" w:firstLine="405" w:firstLineChars="16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山东聊城汇源精铸有限公司于2017年8月委托安徽省四维环境工程有限公司编制完成了《山东聊城汇源精铸有限公司年产12000吨机械毛坯铸件项目环境影响报告表》，2017年9月14日聊城市环境保护局东昌府分局以聊东环审[2017]445对该项目进行批复。</w:t>
      </w:r>
    </w:p>
    <w:p>
      <w:pPr>
        <w:spacing w:line="360" w:lineRule="auto"/>
        <w:ind w:left="13" w:leftChars="6" w:firstLine="405" w:firstLineChars="16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2018年8月份公司委托山东聊和环保科技有限公司完成了该项目（一期）的环保验收监测工作，2019年12月委托山东聊和环保科技有限公司完成了该项目（二期）的环保验收监测工作。</w:t>
      </w:r>
    </w:p>
    <w:p>
      <w:pPr>
        <w:spacing w:line="360" w:lineRule="auto"/>
        <w:ind w:left="13" w:leftChars="6" w:firstLine="405" w:firstLineChars="16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关于同意山东华宇阀门有限公司、山东聊城汇源精铸有限公司开展无组织排放管控治理的批复意见》（聊东环发〔2020〕7号）、《关于印发〈聊城市2020年工业企业综合治理及重污染天气应急管控专项行动实施方案的通知〉》（聊气办发〔2020〕2号）以及相关环保要求，企业现场已提标改造、整改完毕，并对山东聊城汇源精铸有限公司覆膜砂壳型铸造工艺产污环节全封闭自动化提升改造项目完成环境影响登记。</w:t>
      </w:r>
    </w:p>
    <w:p>
      <w:pPr>
        <w:spacing w:line="360" w:lineRule="auto"/>
        <w:ind w:left="13" w:leftChars="6" w:firstLine="405" w:firstLineChars="16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12月公司委托山东绿和环保咨询有限公司进行本项目的环保验收工作，山东绿和环保咨询有限公司组织有关技术人员进行现场踏勘，依据监测技术规范制定了环保验收监测方案，并委托山东聊和环保科技有限公司于2022年03月07日-08日对该企业进行了项目检测，根据验收监测结果和现场检查情况，山东绿和环保咨询有限公司编制了本项目验收监测报告。</w:t>
      </w:r>
    </w:p>
    <w:p>
      <w:pPr>
        <w:tabs>
          <w:tab w:val="left" w:pos="0"/>
        </w:tabs>
        <w:spacing w:line="360" w:lineRule="auto"/>
        <w:ind w:left="13" w:leftChars="6" w:firstLine="405" w:firstLineChars="169"/>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130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130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100</w:t>
      </w:r>
      <w:r>
        <w:rPr>
          <w:rFonts w:hint="default" w:ascii="Times New Roman" w:hAnsi="Times New Roman" w:eastAsia="宋体" w:cs="Times New Roman"/>
          <w:color w:val="auto"/>
          <w:sz w:val="24"/>
          <w:szCs w:val="24"/>
        </w:rPr>
        <w:t>％。</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本次验收范围主要为</w:t>
      </w:r>
      <w:r>
        <w:rPr>
          <w:rFonts w:hint="eastAsia" w:ascii="Times New Roman" w:hAnsi="Times New Roman" w:eastAsia="宋体" w:cs="Times New Roman"/>
          <w:color w:val="auto"/>
          <w:kern w:val="0"/>
          <w:sz w:val="24"/>
          <w:szCs w:val="24"/>
          <w:lang w:eastAsia="zh-CN" w:bidi="ar"/>
        </w:rPr>
        <w:t>覆膜砂壳型铸造工艺产污环节全封闭自动化提升改造部分，位于厂区铸一车间</w:t>
      </w:r>
      <w:r>
        <w:rPr>
          <w:rFonts w:hint="default" w:ascii="Times New Roman" w:hAnsi="Times New Roman" w:eastAsia="宋体" w:cs="Times New Roman"/>
          <w:color w:val="auto"/>
          <w:sz w:val="24"/>
          <w:szCs w:val="24"/>
        </w:rPr>
        <w:t>。</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建设项目环境影响登记表，项目生产性质、生产规模、生产地点、生产工艺及环保设施均无明显变动，根据《关于印发污染影响类建设项目重大变动清单（试行）的通知》环办环评函〔2020〕688号，项目不涉及重大变更。</w:t>
      </w:r>
    </w:p>
    <w:p>
      <w:pPr>
        <w:tabs>
          <w:tab w:val="left" w:pos="0"/>
        </w:tabs>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三、</w:t>
      </w:r>
      <w:r>
        <w:rPr>
          <w:rFonts w:hint="default" w:ascii="Times New Roman" w:hAnsi="Times New Roman" w:eastAsia="宋体" w:cs="Times New Roman"/>
          <w:color w:val="auto"/>
          <w:sz w:val="24"/>
          <w:szCs w:val="24"/>
        </w:rPr>
        <w:t>环境保护设施落实情况</w:t>
      </w:r>
    </w:p>
    <w:p>
      <w:pPr>
        <w:widowControl/>
        <w:spacing w:line="360" w:lineRule="auto"/>
        <w:ind w:left="13" w:leftChars="6" w:firstLine="405" w:firstLineChars="169"/>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13" w:leftChars="6" w:firstLine="405" w:firstLineChars="169"/>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本项目无生产废水产生，且本项目依托原有劳动定员，未新增生活污水。因此，本项目无废水产生。</w:t>
      </w:r>
    </w:p>
    <w:p>
      <w:pPr>
        <w:widowControl/>
        <w:spacing w:line="360" w:lineRule="auto"/>
        <w:ind w:left="13" w:leftChars="6" w:firstLine="405" w:firstLineChars="169"/>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本次提升改造内容主要包括：</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覆膜砂壳型产污工序提升改造，对浇铸工部、落砂工部、固废收集工部进行固定式、封闭化，配建收尘处理设备。浇铸工部配备一台280袋除尘器，22千瓦电机；落砂工部配备一台300袋除尘器，37千瓦电机。对砂箱转移方式提升改造。</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本项目废气主要为熔炼、落砂工序中产生的颗粒物及造型、浇铸工序中产生的颗粒物、VOCs。</w:t>
      </w:r>
      <w:bookmarkStart w:id="0" w:name="_GoBack"/>
      <w:bookmarkEnd w:id="0"/>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本项目废气熔炼、落砂工序中产生的颗粒物经集气罩收集，通过“袋式除尘器”处理后由一根15m高的排气筒P</w:t>
      </w:r>
      <w:r>
        <w:rPr>
          <w:rFonts w:hint="default" w:ascii="Times New Roman" w:hAnsi="Times New Roman" w:eastAsia="宋体" w:cs="Times New Roman"/>
          <w:snapToGrid w:val="0"/>
          <w:color w:val="auto"/>
          <w:kern w:val="0"/>
          <w:sz w:val="24"/>
          <w:szCs w:val="24"/>
          <w:vertAlign w:val="subscript"/>
          <w:lang w:val="en-US" w:eastAsia="zh-CN"/>
        </w:rPr>
        <w:t>1</w:t>
      </w:r>
      <w:r>
        <w:rPr>
          <w:rFonts w:hint="default" w:ascii="Times New Roman" w:hAnsi="Times New Roman" w:eastAsia="宋体" w:cs="Times New Roman"/>
          <w:snapToGrid w:val="0"/>
          <w:color w:val="auto"/>
          <w:kern w:val="0"/>
          <w:sz w:val="24"/>
          <w:szCs w:val="24"/>
          <w:lang w:val="en-US" w:eastAsia="zh-CN"/>
        </w:rPr>
        <w:t>排放。</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本项目造型、浇铸工序中产生的颗粒物、VOCs经集气罩收集，经“袋式除尘器+UV光氧装置”处理后由一根15m高的排气筒P</w:t>
      </w:r>
      <w:r>
        <w:rPr>
          <w:rFonts w:hint="default" w:ascii="Times New Roman" w:hAnsi="Times New Roman" w:eastAsia="宋体" w:cs="Times New Roman"/>
          <w:snapToGrid w:val="0"/>
          <w:color w:val="auto"/>
          <w:kern w:val="0"/>
          <w:sz w:val="24"/>
          <w:szCs w:val="24"/>
          <w:vertAlign w:val="subscript"/>
          <w:lang w:val="en-US" w:eastAsia="zh-CN"/>
        </w:rPr>
        <w:t>1</w:t>
      </w:r>
      <w:r>
        <w:rPr>
          <w:rFonts w:hint="default" w:ascii="Times New Roman" w:hAnsi="Times New Roman" w:eastAsia="宋体" w:cs="Times New Roman"/>
          <w:snapToGrid w:val="0"/>
          <w:color w:val="auto"/>
          <w:kern w:val="0"/>
          <w:sz w:val="24"/>
          <w:szCs w:val="24"/>
          <w:lang w:val="en-US" w:eastAsia="zh-CN"/>
        </w:rPr>
        <w:t xml:space="preserve">排放。 </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13" w:leftChars="6" w:firstLine="405" w:firstLineChars="169"/>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本项目噪声主要为各种生产设备在运行时产生的噪声。通过选用低噪声设备、合理布局、基础减振、距离衰减、厂区内种植高大树木等综合控制等措施，降低对外环境的影响。 </w:t>
      </w:r>
    </w:p>
    <w:p>
      <w:pPr>
        <w:spacing w:line="360" w:lineRule="auto"/>
        <w:ind w:left="13" w:leftChars="6" w:firstLine="405" w:firstLineChars="169"/>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13" w:leftChars="6" w:firstLine="405" w:firstLineChars="169"/>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本项目不新增员工，故不新增生活垃圾。本项目产生的固废主要为熔炼炉渣、抛丸及打磨处理产生的铁屑、废砂、除尘设备收集的粉尘、废润滑油、UV光氧设备更换产生的废UV灯管。</w:t>
      </w:r>
    </w:p>
    <w:p>
      <w:pPr>
        <w:pStyle w:val="16"/>
        <w:numPr>
          <w:ilvl w:val="0"/>
          <w:numId w:val="0"/>
        </w:numPr>
        <w:spacing w:line="360" w:lineRule="auto"/>
        <w:ind w:left="13" w:leftChars="6" w:firstLine="405" w:firstLineChars="169"/>
        <w:jc w:val="both"/>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熔炼炉渣外售回收公司用作建筑材料原料使用；机加工产生的铁屑经收集后外售综合利用；在覆膜砂铸造过程中产生的废砂，收集后外售回收公司用作建筑材料原料使用；布袋除尘器收集的粉尘，收集后由环卫部门统一清运；设备运行维护产生的废润滑油属于危险废物，危废类别为“HW08废矿物油与含矿物油废物”，废物代码为“900-204-08”，UV光氧设备定期更换会产生废灯管，均属于危险废物，废灯管危废类别为“HW29含汞废物”，废物代码为“900-023-29”，经收集后妥善放置于危废暂存间，委托有相关资质单位进行无害化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山东聊城汇源精铸有限公司覆膜砂壳型铸造工艺产污环节全封闭自动化提升改造项目</w:t>
      </w:r>
      <w:r>
        <w:rPr>
          <w:rFonts w:hint="default" w:ascii="Times New Roman" w:hAnsi="Times New Roman" w:eastAsia="宋体" w:cs="Times New Roman"/>
          <w:color w:val="auto"/>
          <w:sz w:val="24"/>
          <w:szCs w:val="24"/>
        </w:rPr>
        <w:t>竣工环境保护验收监测报告》监测结果表明：</w:t>
      </w:r>
    </w:p>
    <w:p>
      <w:pPr>
        <w:numPr>
          <w:ilvl w:val="0"/>
          <w:numId w:val="1"/>
        </w:num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13" w:leftChars="6" w:firstLine="405" w:firstLineChars="169"/>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2"/>
        </w:num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13" w:leftChars="6" w:firstLine="405" w:firstLineChars="16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eastAsia" w:ascii="Times New Roman" w:hAnsi="Times New Roman" w:cs="Times New Roman"/>
          <w:bCs/>
          <w:color w:val="auto"/>
          <w:sz w:val="24"/>
          <w:szCs w:val="24"/>
          <w:lang w:val="en-US" w:eastAsia="zh-CN"/>
        </w:rPr>
        <w:t>有组织颗粒物最大排放浓度为2.8mg/m</w:t>
      </w:r>
      <w:r>
        <w:rPr>
          <w:rFonts w:hint="eastAsia" w:ascii="Times New Roman" w:hAnsi="Times New Roman" w:cs="Times New Roman"/>
          <w:bCs/>
          <w:color w:val="auto"/>
          <w:sz w:val="24"/>
          <w:szCs w:val="24"/>
          <w:vertAlign w:val="superscript"/>
          <w:lang w:val="en-US" w:eastAsia="zh-CN"/>
        </w:rPr>
        <w:t>3</w:t>
      </w:r>
      <w:r>
        <w:rPr>
          <w:rFonts w:hint="eastAsia" w:ascii="Times New Roman" w:hAnsi="Times New Roman" w:cs="Times New Roman"/>
          <w:bCs/>
          <w:color w:val="auto"/>
          <w:sz w:val="24"/>
          <w:szCs w:val="24"/>
          <w:vertAlign w:val="baseline"/>
          <w:lang w:val="en-US" w:eastAsia="zh-CN"/>
        </w:rPr>
        <w:t>，</w:t>
      </w:r>
      <w:r>
        <w:rPr>
          <w:rFonts w:hint="eastAsia" w:ascii="Times New Roman" w:hAnsi="Times New Roman" w:cs="Times New Roman"/>
          <w:bCs/>
          <w:color w:val="auto"/>
          <w:sz w:val="24"/>
          <w:szCs w:val="24"/>
          <w:lang w:val="en-US" w:eastAsia="zh-CN"/>
        </w:rPr>
        <w:t>最大排放速率为0.011kg/h，满足《区域性大气污染物综合排放标准》表1中“重点控制区”及《大气污染物综合排放标准》表2标准限值要求；有组织VOCs最大排放浓度为1.66mg/m</w:t>
      </w:r>
      <w:r>
        <w:rPr>
          <w:rFonts w:hint="eastAsia" w:ascii="Times New Roman" w:hAnsi="Times New Roman" w:cs="Times New Roman"/>
          <w:bCs/>
          <w:color w:val="auto"/>
          <w:sz w:val="24"/>
          <w:szCs w:val="24"/>
          <w:vertAlign w:val="superscript"/>
          <w:lang w:val="en-US" w:eastAsia="zh-CN"/>
        </w:rPr>
        <w:t>3</w:t>
      </w:r>
      <w:r>
        <w:rPr>
          <w:rFonts w:hint="eastAsia" w:ascii="Times New Roman" w:hAnsi="Times New Roman" w:cs="Times New Roman"/>
          <w:bCs/>
          <w:color w:val="auto"/>
          <w:sz w:val="24"/>
          <w:szCs w:val="24"/>
          <w:lang w:val="en-US" w:eastAsia="zh-CN"/>
        </w:rPr>
        <w:t>，最大排放速率为6.70×10</w:t>
      </w:r>
      <w:r>
        <w:rPr>
          <w:rFonts w:hint="eastAsia" w:ascii="Times New Roman" w:hAnsi="Times New Roman" w:cs="Times New Roman"/>
          <w:bCs/>
          <w:color w:val="auto"/>
          <w:sz w:val="24"/>
          <w:szCs w:val="24"/>
          <w:vertAlign w:val="superscript"/>
          <w:lang w:val="en-US" w:eastAsia="zh-CN"/>
        </w:rPr>
        <w:t>-3</w:t>
      </w:r>
      <w:r>
        <w:rPr>
          <w:rFonts w:hint="eastAsia" w:ascii="Times New Roman" w:hAnsi="Times New Roman" w:cs="Times New Roman"/>
          <w:bCs/>
          <w:color w:val="auto"/>
          <w:sz w:val="24"/>
          <w:szCs w:val="24"/>
          <w:lang w:val="en-US" w:eastAsia="zh-CN"/>
        </w:rPr>
        <w:t>kg/h，满足《挥发性有机物排放标准第7部分：其他行业》表1标准限值要求</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lang w:eastAsia="zh-CN"/>
        </w:rPr>
        <w:t>无组织颗粒物</w:t>
      </w:r>
      <w:r>
        <w:rPr>
          <w:rFonts w:hint="default" w:ascii="Times New Roman" w:hAnsi="Times New Roman" w:cs="Times New Roman"/>
          <w:color w:val="auto"/>
          <w:sz w:val="24"/>
          <w:szCs w:val="24"/>
          <w:lang w:eastAsia="zh-CN"/>
        </w:rPr>
        <w:t>小时浓度最高为0.</w:t>
      </w:r>
      <w:r>
        <w:rPr>
          <w:rFonts w:hint="eastAsia" w:ascii="Times New Roman" w:hAnsi="Times New Roman" w:cs="Times New Roman"/>
          <w:color w:val="auto"/>
          <w:sz w:val="24"/>
          <w:szCs w:val="24"/>
          <w:lang w:val="en-US" w:eastAsia="zh-CN"/>
        </w:rPr>
        <w:t>367</w:t>
      </w:r>
      <w:r>
        <w:rPr>
          <w:rFonts w:hint="default" w:ascii="Times New Roman" w:hAnsi="Times New Roman" w:cs="Times New Roman"/>
          <w:color w:val="auto"/>
          <w:sz w:val="24"/>
          <w:szCs w:val="24"/>
          <w:lang w:eastAsia="zh-CN"/>
        </w:rPr>
        <w:t>mg/m</w:t>
      </w:r>
      <w:r>
        <w:rPr>
          <w:rFonts w:hint="default" w:ascii="Times New Roman" w:hAnsi="Times New Roman" w:cs="Times New Roman"/>
          <w:color w:val="auto"/>
          <w:sz w:val="24"/>
          <w:szCs w:val="24"/>
          <w:vertAlign w:val="superscript"/>
          <w:lang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cs="Times New Roman"/>
          <w:color w:val="auto"/>
          <w:sz w:val="24"/>
          <w:szCs w:val="24"/>
          <w:lang w:eastAsia="zh-CN"/>
        </w:rPr>
        <w:t>满足《大气污染物综合排放标准》表2</w:t>
      </w:r>
      <w:r>
        <w:rPr>
          <w:rFonts w:hint="eastAsia" w:ascii="Times New Roman" w:hAnsi="Times New Roman" w:cs="Times New Roman"/>
          <w:color w:val="auto"/>
          <w:sz w:val="24"/>
          <w:szCs w:val="24"/>
          <w:lang w:eastAsia="zh-CN"/>
        </w:rPr>
        <w:t>标准限值要求</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t>VOCs</w:t>
      </w:r>
      <w:r>
        <w:rPr>
          <w:rFonts w:hint="default" w:ascii="Times New Roman" w:hAnsi="Times New Roman" w:cs="Times New Roman"/>
          <w:color w:val="auto"/>
          <w:sz w:val="24"/>
          <w:szCs w:val="24"/>
          <w:lang w:eastAsia="zh-CN"/>
        </w:rPr>
        <w:t>小时浓度最高为0.</w:t>
      </w:r>
      <w:r>
        <w:rPr>
          <w:rFonts w:hint="eastAsia" w:ascii="Times New Roman" w:hAnsi="Times New Roman" w:cs="Times New Roman"/>
          <w:color w:val="auto"/>
          <w:sz w:val="24"/>
          <w:szCs w:val="24"/>
          <w:lang w:val="en-US" w:eastAsia="zh-CN"/>
        </w:rPr>
        <w:t>32</w:t>
      </w:r>
      <w:r>
        <w:rPr>
          <w:rFonts w:hint="default" w:ascii="Times New Roman" w:hAnsi="Times New Roman" w:cs="Times New Roman"/>
          <w:color w:val="auto"/>
          <w:sz w:val="24"/>
          <w:szCs w:val="24"/>
          <w:lang w:eastAsia="zh-CN"/>
        </w:rPr>
        <w:t>mg/m</w:t>
      </w:r>
      <w:r>
        <w:rPr>
          <w:rFonts w:hint="default" w:ascii="Times New Roman" w:hAnsi="Times New Roman" w:cs="Times New Roman"/>
          <w:color w:val="auto"/>
          <w:sz w:val="24"/>
          <w:szCs w:val="24"/>
          <w:vertAlign w:val="superscript"/>
          <w:lang w:eastAsia="zh-CN"/>
        </w:rPr>
        <w:t>3</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满足《挥发性有机物排放标准第7部分：其他行业》表2</w:t>
      </w:r>
      <w:r>
        <w:rPr>
          <w:rFonts w:hint="eastAsia" w:ascii="Times New Roman" w:hAnsi="Times New Roman" w:cs="Times New Roman"/>
          <w:color w:val="auto"/>
          <w:sz w:val="24"/>
          <w:szCs w:val="24"/>
          <w:lang w:eastAsia="zh-CN"/>
        </w:rPr>
        <w:t>标准限值要求</w:t>
      </w:r>
      <w:r>
        <w:rPr>
          <w:rFonts w:hint="default" w:ascii="Times New Roman" w:hAnsi="Times New Roman" w:eastAsia="宋体" w:cs="Times New Roman"/>
          <w:color w:val="auto"/>
          <w:sz w:val="24"/>
          <w:szCs w:val="24"/>
          <w:lang w:val="en-US" w:eastAsia="zh-CN"/>
        </w:rPr>
        <w:t>。</w:t>
      </w:r>
    </w:p>
    <w:p>
      <w:pPr>
        <w:spacing w:line="360" w:lineRule="auto"/>
        <w:ind w:left="13" w:leftChars="6" w:firstLine="405" w:firstLineChars="169"/>
        <w:rPr>
          <w:rFonts w:hint="default" w:cs="Times New Roman"/>
          <w:color w:val="auto"/>
          <w:sz w:val="24"/>
          <w:szCs w:val="24"/>
          <w:lang w:val="en-US" w:eastAsia="zh-CN"/>
        </w:rPr>
      </w:pPr>
      <w:r>
        <w:rPr>
          <w:rFonts w:hint="eastAsia" w:ascii="Times New Roman" w:hAnsi="Times New Roman" w:cs="Times New Roman"/>
          <w:b w:val="0"/>
          <w:bCs/>
          <w:color w:val="auto"/>
          <w:sz w:val="24"/>
          <w:szCs w:val="24"/>
          <w:lang w:val="en-US" w:eastAsia="zh-CN"/>
        </w:rPr>
        <w:t>生态效益指标：类比改造前本项目</w:t>
      </w:r>
      <w:r>
        <w:rPr>
          <w:rFonts w:hint="eastAsia" w:ascii="Times New Roman" w:hAnsi="Times New Roman" w:eastAsia="宋体" w:cs="Times New Roman"/>
          <w:b w:val="0"/>
          <w:bCs/>
          <w:color w:val="auto"/>
          <w:sz w:val="24"/>
          <w:szCs w:val="24"/>
          <w:lang w:val="en-US" w:eastAsia="zh-CN"/>
        </w:rPr>
        <w:t>验收（一期）</w:t>
      </w:r>
      <w:r>
        <w:rPr>
          <w:rFonts w:hint="eastAsia" w:ascii="Times New Roman" w:hAnsi="Times New Roman" w:cs="Times New Roman"/>
          <w:b w:val="0"/>
          <w:bCs/>
          <w:color w:val="auto"/>
          <w:sz w:val="24"/>
          <w:szCs w:val="24"/>
          <w:lang w:val="en-US" w:eastAsia="zh-CN"/>
        </w:rPr>
        <w:t>铸一车间西排气筒P</w:t>
      </w:r>
      <w:r>
        <w:rPr>
          <w:rFonts w:hint="eastAsia" w:ascii="Times New Roman" w:hAnsi="Times New Roman" w:cs="Times New Roman"/>
          <w:b w:val="0"/>
          <w:bCs/>
          <w:color w:val="auto"/>
          <w:sz w:val="24"/>
          <w:szCs w:val="24"/>
          <w:vertAlign w:val="subscript"/>
          <w:lang w:val="en-US" w:eastAsia="zh-CN"/>
        </w:rPr>
        <w:t>1</w:t>
      </w:r>
      <w:r>
        <w:rPr>
          <w:rFonts w:hint="eastAsia" w:ascii="Times New Roman" w:hAnsi="Times New Roman" w:eastAsia="宋体" w:cs="Times New Roman"/>
          <w:b w:val="0"/>
          <w:bCs/>
          <w:color w:val="auto"/>
          <w:sz w:val="24"/>
          <w:szCs w:val="24"/>
          <w:lang w:val="en-US" w:eastAsia="zh-CN"/>
        </w:rPr>
        <w:t>颗粒物监测数据，排放浓度均值为7.2mg/m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，排放速率均值为0.044kg/h，生产负荷均值为85%，计算得改造前</w:t>
      </w:r>
      <w:r>
        <w:rPr>
          <w:rFonts w:hint="eastAsia" w:ascii="Times New Roman" w:hAnsi="Times New Roman" w:cs="Times New Roman"/>
          <w:b w:val="0"/>
          <w:bCs/>
          <w:color w:val="auto"/>
          <w:sz w:val="24"/>
          <w:szCs w:val="24"/>
          <w:lang w:val="en-US" w:eastAsia="zh-CN"/>
        </w:rPr>
        <w:t>排气筒P</w:t>
      </w:r>
      <w:r>
        <w:rPr>
          <w:rFonts w:hint="eastAsia" w:ascii="Times New Roman" w:hAnsi="Times New Roman" w:cs="Times New Roman"/>
          <w:b w:val="0"/>
          <w:bCs/>
          <w:color w:val="auto"/>
          <w:sz w:val="24"/>
          <w:szCs w:val="24"/>
          <w:vertAlign w:val="subscript"/>
          <w:lang w:val="en-US" w:eastAsia="zh-CN"/>
        </w:rPr>
        <w:t>1</w:t>
      </w:r>
      <w:r>
        <w:rPr>
          <w:rFonts w:hint="eastAsia" w:ascii="Times New Roman" w:hAnsi="Times New Roman" w:eastAsia="宋体" w:cs="Times New Roman"/>
          <w:b w:val="0"/>
          <w:bCs/>
          <w:color w:val="auto"/>
          <w:sz w:val="24"/>
          <w:szCs w:val="24"/>
          <w:lang w:val="en-US" w:eastAsia="zh-CN"/>
        </w:rPr>
        <w:t>颗粒物总量为：0.24847t/a；改</w:t>
      </w:r>
      <w:r>
        <w:rPr>
          <w:rFonts w:hint="eastAsia" w:ascii="Times New Roman" w:hAnsi="Times New Roman" w:cs="Times New Roman"/>
          <w:b w:val="0"/>
          <w:bCs/>
          <w:color w:val="auto"/>
          <w:sz w:val="24"/>
          <w:szCs w:val="24"/>
          <w:lang w:val="en-US" w:eastAsia="zh-CN"/>
        </w:rPr>
        <w:t>造完工后排气筒P</w:t>
      </w:r>
      <w:r>
        <w:rPr>
          <w:rFonts w:hint="eastAsia" w:ascii="Times New Roman" w:hAnsi="Times New Roman" w:cs="Times New Roman"/>
          <w:b w:val="0"/>
          <w:bCs/>
          <w:color w:val="auto"/>
          <w:sz w:val="24"/>
          <w:szCs w:val="24"/>
          <w:vertAlign w:val="subscript"/>
          <w:lang w:val="en-US" w:eastAsia="zh-CN"/>
        </w:rPr>
        <w:t>1</w:t>
      </w:r>
      <w:r>
        <w:rPr>
          <w:rFonts w:hint="eastAsia" w:ascii="Times New Roman" w:hAnsi="Times New Roman" w:eastAsia="宋体" w:cs="Times New Roman"/>
          <w:b w:val="0"/>
          <w:bCs/>
          <w:color w:val="auto"/>
          <w:sz w:val="24"/>
          <w:szCs w:val="24"/>
          <w:lang w:val="en-US" w:eastAsia="zh-CN"/>
        </w:rPr>
        <w:t>颗粒物总量为：0.05102t/a。计算得改造完工达到减排颗粒物0.19745t/a</w:t>
      </w:r>
      <w:r>
        <w:rPr>
          <w:rFonts w:hint="eastAsia" w:cs="Times New Roman"/>
          <w:b w:val="0"/>
          <w:bCs/>
          <w:color w:val="auto"/>
          <w:sz w:val="24"/>
          <w:szCs w:val="24"/>
          <w:lang w:val="en-US" w:eastAsia="zh-CN"/>
        </w:rPr>
        <w:t>。</w:t>
      </w:r>
      <w:r>
        <w:rPr>
          <w:rFonts w:hint="eastAsia" w:cs="Times New Roman"/>
          <w:color w:val="auto"/>
          <w:sz w:val="24"/>
          <w:szCs w:val="24"/>
          <w:lang w:val="en-US" w:eastAsia="zh-CN"/>
        </w:rPr>
        <w:t xml:space="preserve"> </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13" w:leftChars="6" w:firstLine="405" w:firstLineChars="16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验收监测期间，监测点位昼间噪声在54.5-58.7(dB)之间，符合《工业企业厂界环境噪声排放标准》（GB12348-2008）中的2类标准限值。</w:t>
      </w:r>
    </w:p>
    <w:p>
      <w:pPr>
        <w:numPr>
          <w:ilvl w:val="0"/>
          <w:numId w:val="3"/>
        </w:numPr>
        <w:spacing w:line="360" w:lineRule="auto"/>
        <w:ind w:left="13" w:leftChars="6" w:firstLine="405" w:firstLineChars="16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13" w:leftChars="6" w:firstLine="405" w:firstLineChars="169"/>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13" w:leftChars="6" w:firstLine="405" w:firstLineChars="169"/>
        <w:rPr>
          <w:rFonts w:hint="default" w:ascii="Times New Roman" w:hAnsi="Times New Roman" w:eastAsia="宋体" w:cs="Times New Roman"/>
          <w:color w:val="auto"/>
          <w:sz w:val="24"/>
          <w:szCs w:val="24"/>
        </w:rPr>
      </w:pPr>
      <w:r>
        <w:rPr>
          <w:rFonts w:hint="eastAsia" w:cs="Times New Roman"/>
          <w:color w:val="auto"/>
          <w:sz w:val="24"/>
          <w:szCs w:val="24"/>
          <w:lang w:eastAsia="zh-CN"/>
        </w:rPr>
        <w:t>山东聊城汇源精铸有限公司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山东聊城汇源精铸有限公司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13" w:leftChars="6" w:firstLine="405" w:firstLineChars="169"/>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13" w:leftChars="6" w:firstLine="405" w:firstLineChars="169"/>
        <w:jc w:val="left"/>
        <w:rPr>
          <w:rFonts w:hint="eastAsia" w:cs="Times New Roman"/>
          <w:color w:val="auto"/>
          <w:sz w:val="24"/>
          <w:szCs w:val="24"/>
          <w:lang w:val="en-US" w:eastAsia="zh-CN"/>
        </w:rPr>
      </w:pPr>
      <w:r>
        <w:rPr>
          <w:rFonts w:hint="eastAsia" w:cs="Times New Roman"/>
          <w:color w:val="auto"/>
          <w:sz w:val="24"/>
          <w:szCs w:val="24"/>
          <w:lang w:val="en-US" w:eastAsia="zh-CN"/>
        </w:rPr>
        <w:t>1、建议将造型、浇铸工序废气（颗粒物、VOCs）收集管道与落砂等工序废气（颗粒物）收集管道分开，保证废气可有效收集、处理；</w:t>
      </w:r>
    </w:p>
    <w:p>
      <w:pPr>
        <w:numPr>
          <w:ilvl w:val="0"/>
          <w:numId w:val="0"/>
        </w:numPr>
        <w:spacing w:line="360" w:lineRule="auto"/>
        <w:ind w:left="13" w:leftChars="6" w:firstLine="405" w:firstLineChars="169"/>
        <w:jc w:val="left"/>
        <w:rPr>
          <w:rFonts w:hint="eastAsia" w:cs="Times New Roman"/>
          <w:color w:val="auto"/>
          <w:sz w:val="24"/>
          <w:szCs w:val="24"/>
          <w:lang w:eastAsia="zh-CN"/>
        </w:rPr>
      </w:pPr>
      <w:r>
        <w:rPr>
          <w:rFonts w:hint="eastAsia" w:cs="Times New Roman"/>
          <w:color w:val="auto"/>
          <w:sz w:val="24"/>
          <w:szCs w:val="24"/>
          <w:lang w:val="en-US" w:eastAsia="zh-CN"/>
        </w:rPr>
        <w:t>2、定期检查废气收集设施的运行情况</w:t>
      </w:r>
      <w:r>
        <w:rPr>
          <w:rFonts w:hint="default" w:ascii="Times New Roman" w:hAnsi="Times New Roman" w:eastAsia="宋体" w:cs="Times New Roman"/>
          <w:color w:val="auto"/>
          <w:kern w:val="2"/>
          <w:sz w:val="24"/>
          <w:szCs w:val="24"/>
          <w:lang w:val="en-US" w:eastAsia="zh-CN" w:bidi="ar-SA"/>
        </w:rPr>
        <w:t>。</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13" w:leftChars="6" w:firstLine="405" w:firstLineChars="169"/>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13" w:leftChars="6" w:firstLine="405" w:firstLineChars="169"/>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13" w:leftChars="6" w:firstLine="407" w:firstLineChars="169"/>
        <w:jc w:val="right"/>
        <w:rPr>
          <w:rFonts w:hint="eastAsia" w:cs="Times New Roman"/>
          <w:b/>
          <w:bCs/>
          <w:color w:val="auto"/>
          <w:sz w:val="24"/>
          <w:szCs w:val="24"/>
          <w:lang w:eastAsia="zh-CN"/>
        </w:rPr>
      </w:pPr>
    </w:p>
    <w:p>
      <w:pPr>
        <w:pStyle w:val="2"/>
        <w:rPr>
          <w:rFonts w:hint="eastAsia"/>
          <w:lang w:eastAsia="zh-CN"/>
        </w:rPr>
      </w:pPr>
    </w:p>
    <w:p>
      <w:pPr>
        <w:spacing w:line="360" w:lineRule="auto"/>
        <w:ind w:left="13" w:leftChars="6" w:firstLine="407" w:firstLineChars="169"/>
        <w:jc w:val="right"/>
        <w:rPr>
          <w:rFonts w:hint="eastAsia" w:cs="Times New Roman"/>
          <w:b/>
          <w:bCs/>
          <w:color w:val="auto"/>
          <w:sz w:val="24"/>
          <w:szCs w:val="24"/>
          <w:lang w:eastAsia="zh-CN"/>
        </w:rPr>
      </w:pPr>
      <w:r>
        <w:rPr>
          <w:rFonts w:hint="eastAsia" w:cs="Times New Roman"/>
          <w:b/>
          <w:bCs/>
          <w:color w:val="auto"/>
          <w:sz w:val="24"/>
          <w:szCs w:val="24"/>
          <w:lang w:eastAsia="zh-CN"/>
        </w:rPr>
        <w:t>山东聊城汇源精铸有限公司验收组</w:t>
      </w:r>
    </w:p>
    <w:p>
      <w:pPr>
        <w:spacing w:line="360" w:lineRule="auto"/>
        <w:ind w:left="13" w:leftChars="6" w:firstLine="407" w:firstLineChars="169"/>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2022年3月19日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4401761E"/>
    <w:multiLevelType w:val="singleLevel"/>
    <w:tmpl w:val="4401761E"/>
    <w:lvl w:ilvl="0" w:tentative="0">
      <w:start w:val="2"/>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65599D"/>
    <w:rsid w:val="02E1230E"/>
    <w:rsid w:val="0363342C"/>
    <w:rsid w:val="0400088B"/>
    <w:rsid w:val="06DC5C52"/>
    <w:rsid w:val="0705220E"/>
    <w:rsid w:val="07E235D4"/>
    <w:rsid w:val="08CF122F"/>
    <w:rsid w:val="0A775B6C"/>
    <w:rsid w:val="0BB105F9"/>
    <w:rsid w:val="0BCD78E3"/>
    <w:rsid w:val="0BD4352F"/>
    <w:rsid w:val="0C9D7A18"/>
    <w:rsid w:val="0D002E61"/>
    <w:rsid w:val="0D71452F"/>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0827DD"/>
    <w:rsid w:val="24DD3549"/>
    <w:rsid w:val="27420539"/>
    <w:rsid w:val="27776D4F"/>
    <w:rsid w:val="277A3E4F"/>
    <w:rsid w:val="284C33EF"/>
    <w:rsid w:val="286B6E9D"/>
    <w:rsid w:val="28A10D60"/>
    <w:rsid w:val="2BD129D7"/>
    <w:rsid w:val="2BFB35B9"/>
    <w:rsid w:val="2C8345D6"/>
    <w:rsid w:val="2DE61E9D"/>
    <w:rsid w:val="2E594393"/>
    <w:rsid w:val="31572BC2"/>
    <w:rsid w:val="337178B1"/>
    <w:rsid w:val="33E80446"/>
    <w:rsid w:val="35A21894"/>
    <w:rsid w:val="35CA7C00"/>
    <w:rsid w:val="36292142"/>
    <w:rsid w:val="371221B6"/>
    <w:rsid w:val="38213D1C"/>
    <w:rsid w:val="38FC247C"/>
    <w:rsid w:val="395656FC"/>
    <w:rsid w:val="3A002C99"/>
    <w:rsid w:val="3AD84511"/>
    <w:rsid w:val="3B2962D5"/>
    <w:rsid w:val="3B9345B4"/>
    <w:rsid w:val="3C495586"/>
    <w:rsid w:val="3C614E95"/>
    <w:rsid w:val="3D216C63"/>
    <w:rsid w:val="3D481CA9"/>
    <w:rsid w:val="3E7D0FBB"/>
    <w:rsid w:val="3EF115E1"/>
    <w:rsid w:val="407E79EC"/>
    <w:rsid w:val="425A3055"/>
    <w:rsid w:val="42CB3369"/>
    <w:rsid w:val="42D02360"/>
    <w:rsid w:val="42ED0B8D"/>
    <w:rsid w:val="440B2C50"/>
    <w:rsid w:val="45B12AB5"/>
    <w:rsid w:val="46440069"/>
    <w:rsid w:val="483D5E39"/>
    <w:rsid w:val="4A4F2C0E"/>
    <w:rsid w:val="4BC32318"/>
    <w:rsid w:val="4CF47C94"/>
    <w:rsid w:val="4D966CB6"/>
    <w:rsid w:val="5075222B"/>
    <w:rsid w:val="51603323"/>
    <w:rsid w:val="51800668"/>
    <w:rsid w:val="52082039"/>
    <w:rsid w:val="520B1012"/>
    <w:rsid w:val="53D87E59"/>
    <w:rsid w:val="56DD1623"/>
    <w:rsid w:val="584674DB"/>
    <w:rsid w:val="59632F9B"/>
    <w:rsid w:val="59772D6C"/>
    <w:rsid w:val="5B994AD0"/>
    <w:rsid w:val="5BB97A85"/>
    <w:rsid w:val="5C705EEE"/>
    <w:rsid w:val="5D580A9C"/>
    <w:rsid w:val="5F0C4CFF"/>
    <w:rsid w:val="602A22C2"/>
    <w:rsid w:val="64C4763E"/>
    <w:rsid w:val="64C7637B"/>
    <w:rsid w:val="65826A80"/>
    <w:rsid w:val="66FB5067"/>
    <w:rsid w:val="6A4209DB"/>
    <w:rsid w:val="6ABA50EB"/>
    <w:rsid w:val="6DEB0CC4"/>
    <w:rsid w:val="6E274D51"/>
    <w:rsid w:val="6E620EC2"/>
    <w:rsid w:val="70346B17"/>
    <w:rsid w:val="70FA12EC"/>
    <w:rsid w:val="72964393"/>
    <w:rsid w:val="72C90F73"/>
    <w:rsid w:val="7593546D"/>
    <w:rsid w:val="75C3338A"/>
    <w:rsid w:val="76AB541C"/>
    <w:rsid w:val="77930543"/>
    <w:rsid w:val="7A664E5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2022-03-24T03:07:18Z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5F3E9D957CC14E9F938D06946CE12F19</vt:lpwstr>
  </property>
</Properties>
</file>