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bookmarkStart w:id="0" w:name="_GoBack"/>
      <w:bookmarkEnd w:id="0"/>
      <w:r>
        <w:rPr>
          <w:rFonts w:hint="eastAsia" w:cs="Times New Roman"/>
          <w:b/>
          <w:color w:val="auto"/>
          <w:sz w:val="32"/>
          <w:szCs w:val="32"/>
          <w:lang w:val="en-US" w:eastAsia="zh-CN"/>
        </w:rPr>
        <w:t>阳谷大金电缆有限公司年产4000千米电线电缆扩建项目</w:t>
      </w:r>
      <w:r>
        <w:rPr>
          <w:rFonts w:hint="default" w:cs="Times New Roman"/>
          <w:b/>
          <w:color w:val="auto"/>
          <w:sz w:val="32"/>
          <w:szCs w:val="32"/>
          <w:lang w:val="en-US" w:eastAsia="zh-CN"/>
        </w:rPr>
        <w:t>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2022年3月19日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阳谷大金电缆有限公司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年产4000千米电线电缆扩建项目</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阳谷大金电缆有限公司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阳谷大金电缆有限公司位于山东省聊城市阳谷县祥光铜业科技园祥瑞路与祥光路交叉口向南188米路西。项目总投资50万元，占地6290平方米，利用原有车间建设年产4000千米电线电缆扩建项目。</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2014年10月23日，阳谷县环境保护局《关于阳谷大金电缆有限公司年产2000千米特种电缆、2000吨铜线项目环境影响报告表的批复》（阳环报告表【2014】97号）文件批复了阳谷景阳冈环保技术咨询有限公司为此项目编制的环境影响报告表，此项目于2017年12月建成投产。2018年6月山东环测环境科技有限公司对此项目进行了验收监测。</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根据企业发展规划和市场需求，阳谷大金电缆有限公司决定建设年产4000千米电线电缆扩建项目。 </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4月阳谷大金电缆有限公司委托山东锦航环保科技有限公司编制了《阳谷大金电缆有限公司年产4000千米电线电缆扩建项目环境影响报告表》，2021年05月13日阳谷县行政审批服务局以阳行审环字〔2021〕16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10月公司委托山东绿和环保咨询有限公司进行本项目的环保验收工作，山东绿和环保咨询有限公司组织有关技术人员进行现场踏勘，依据监测技术规范制定了环保验收监测方案，并委托山东聊和环保科技有限公司于2022年03月05日-06日对该企业进行了项目检测，根据验收监测结果和现场检查情况，山东绿和环保咨询有限公司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50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10</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年产4000千米电线电缆</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悬臂绞较环评设计数量少1台，编织机较环评设计数量多6台，均属于辅助设备，未影响综合产能。根据《关于印发污染影响类建设项目重大变动清单（试行）的通知》环办环评函〔2020〕688号，项目生产性质、生产规模、生产地点、生产工艺及环保设施均无明显变动，项目不涉及重大变更。</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本项目废水主要为生活污水及循环冷却废水，生活污水经化粪池收集后，与循环冷却废水共同排入阳谷县碧海国环污水处理有限公司深度处理。</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本项目废气主要为熔融挤出、喷码工序产生的有机废气，经集气罩收集后，通过“光氧催化+活性炭吸附装置”处理，最后通过一根15米高排气筒排放。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未被收集的废气以无组织形式排放。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本项目噪声主要来源于挤塑机、笼绞机、对绞机、风机等各类机械设备。通过基础减振、距离衰减、并将设备布置在封闭车间内等综合控制措施，降低对外环境的影响。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本项目固体废物主要为生产过程中产生的废塑料及不合格产品、原料的废包装材料、废机油、光氧催化+活性炭吸附装置更换的废灯管及废活性炭、废油墨桶和职工生活垃圾。</w:t>
      </w:r>
    </w:p>
    <w:p>
      <w:pPr>
        <w:spacing w:line="360" w:lineRule="auto"/>
        <w:ind w:left="233" w:leftChars="111" w:firstLine="518" w:firstLineChars="216"/>
        <w:jc w:val="left"/>
        <w:rPr>
          <w:rFonts w:hint="eastAsia" w:ascii="Times New Roman" w:hAnsi="Times New Roman" w:eastAsia="宋体" w:cs="Times New Roman"/>
          <w:snapToGrid w:val="0"/>
          <w:color w:val="auto"/>
          <w:kern w:val="0"/>
          <w:sz w:val="24"/>
          <w:szCs w:val="24"/>
          <w:lang w:val="en-US" w:eastAsia="zh-CN"/>
        </w:rPr>
      </w:pPr>
      <w:r>
        <w:rPr>
          <w:rFonts w:hint="eastAsia" w:ascii="Times New Roman" w:hAnsi="Times New Roman" w:eastAsia="宋体" w:cs="Times New Roman"/>
          <w:snapToGrid w:val="0"/>
          <w:color w:val="auto"/>
          <w:kern w:val="0"/>
          <w:sz w:val="24"/>
          <w:szCs w:val="24"/>
          <w:lang w:val="en-US" w:eastAsia="zh-CN"/>
        </w:rPr>
        <w:t>本项目生产过程中产生的下脚料及不合格产品主要为铜丝及废塑料，原料的废包装材料主要为塑料颗粒的包装袋，均外售资源回收单位。生活垃圾委托环卫部门清运、处理。</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snapToGrid w:val="0"/>
          <w:color w:val="auto"/>
          <w:kern w:val="0"/>
          <w:sz w:val="24"/>
          <w:szCs w:val="24"/>
          <w:lang w:val="en-US" w:eastAsia="zh-CN"/>
        </w:rPr>
        <w:t>本项目设备在维护保养过程产生的废机油属于危险废物，危险废物类型为：HW08，废物代码：900-249-08；废气处理设施产生的废灯管属于危险废物，危险废物类型为：HW29，危废代码900-023-29；废活性炭属于危险废物，危险废物类型为：HW49，危废代码900-039-49；废油墨桶属于危险废物，危险废物类型为：HW49，废物代码：900-041-49，</w:t>
      </w:r>
      <w:r>
        <w:rPr>
          <w:rFonts w:hint="eastAsia" w:cs="Times New Roman"/>
          <w:snapToGrid w:val="0"/>
          <w:color w:val="auto"/>
          <w:kern w:val="0"/>
          <w:sz w:val="24"/>
          <w:szCs w:val="24"/>
          <w:lang w:val="en-US" w:eastAsia="zh-CN"/>
        </w:rPr>
        <w:t>均集中收集后储存于危废间，然后委托相关资质单位处置</w:t>
      </w:r>
      <w:r>
        <w:rPr>
          <w:rFonts w:hint="eastAsia" w:ascii="Times New Roman" w:hAnsi="Times New Roman" w:eastAsia="宋体" w:cs="Times New Roman"/>
          <w:snapToGrid w:val="0"/>
          <w:color w:val="auto"/>
          <w:kern w:val="0"/>
          <w:sz w:val="24"/>
          <w:szCs w:val="24"/>
          <w:lang w:val="en-US" w:eastAsia="zh-CN"/>
        </w:rPr>
        <w:t>。</w:t>
      </w:r>
      <w:r>
        <w:rPr>
          <w:rFonts w:hint="default" w:ascii="Times New Roman" w:hAnsi="Times New Roman" w:eastAsia="宋体" w:cs="Times New Roman"/>
          <w:snapToGrid w:val="0"/>
          <w:color w:val="auto"/>
          <w:kern w:val="0"/>
          <w:sz w:val="24"/>
          <w:szCs w:val="24"/>
          <w:lang w:val="en-US" w:eastAsia="zh-CN"/>
        </w:rPr>
        <w:br w:type="textWrapping"/>
      </w:r>
      <w:r>
        <w:rPr>
          <w:rFonts w:hint="eastAsia" w:ascii="Times New Roman" w:hAnsi="Times New Roman" w:eastAsia="宋体" w:cs="Times New Roman"/>
          <w:color w:val="auto"/>
          <w:kern w:val="2"/>
          <w:sz w:val="24"/>
          <w:szCs w:val="24"/>
          <w:lang w:val="en-US" w:eastAsia="zh-CN" w:bidi="ar-SA"/>
        </w:rPr>
        <w:t xml:space="preserve">    </w:t>
      </w:r>
      <w:r>
        <w:rPr>
          <w:rFonts w:hint="default" w:ascii="Times New Roman" w:hAnsi="Times New Roman" w:eastAsia="宋体" w:cs="Times New Roman"/>
          <w:color w:val="auto"/>
          <w:kern w:val="2"/>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阳谷大金电缆有限公司年产4000千米电线电缆扩建项目</w:t>
      </w:r>
      <w:r>
        <w:rPr>
          <w:rFonts w:hint="default" w:ascii="Times New Roman" w:hAnsi="Times New Roman" w:eastAsia="宋体" w:cs="Times New Roman"/>
          <w:color w:val="auto"/>
          <w:sz w:val="24"/>
          <w:szCs w:val="24"/>
        </w:rPr>
        <w:t>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cs="Times New Roman"/>
          <w:color w:val="auto"/>
          <w:sz w:val="24"/>
          <w:szCs w:val="24"/>
          <w:lang w:val="en-US" w:eastAsia="zh-CN"/>
        </w:rPr>
        <w:t>验收监测期间，废水pH为7.6-7.8，化学需氧量、五日生化需氧量、悬浮物、氨氮最高排放浓度分别为28mg/L、7.2mg/L、7mg/L、0.855mg/L，均满足《污水排入城镇下水道水质标准》（GB/T 31962-2015）表1中B级标准及阳谷碧海国环污水处理有限公司进水标准要求。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验收监测期间，有组织氯化氢最高排放浓度为0.35mg/m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，排放速率最高为4.5×10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kg/h，满足《大气污染物综合排放标准》（GB16297-1996）表2标准要求；有组织VOCs最高排放浓度为0.71mg/m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，排放速率最高为8.9×10</w:t>
      </w:r>
      <w:r>
        <w:rPr>
          <w:rFonts w:hint="default" w:ascii="Times New Roman" w:hAnsi="Times New Roman" w:eastAsia="宋体" w:cs="Times New Roman"/>
          <w:color w:val="auto"/>
          <w:sz w:val="24"/>
          <w:szCs w:val="24"/>
          <w:vertAlign w:val="superscript"/>
          <w:lang w:val="en-US" w:eastAsia="zh-CN"/>
        </w:rPr>
        <w:t>-4</w:t>
      </w:r>
      <w:r>
        <w:rPr>
          <w:rFonts w:hint="default" w:ascii="Times New Roman" w:hAnsi="Times New Roman" w:eastAsia="宋体" w:cs="Times New Roman"/>
          <w:color w:val="auto"/>
          <w:sz w:val="24"/>
          <w:szCs w:val="24"/>
          <w:lang w:val="en-US" w:eastAsia="zh-CN"/>
        </w:rPr>
        <w:t>kg/h，满足《挥发性有机物排放标准 第7部分：其他行业》（DB37/ 2801.7-2019）表1中Ⅱ时段排放限值。无组织氯化氢小时浓度最高为0.089mg/m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，满足《大气污染物综合排放标准》表2标准要求；无组织VOCs小时浓度最高为0.30mg/m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，满足《挥发性有机物排放标准 第7部分：其他行业》表2厂界监控点浓度限值。</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总量控制：根据本次项目监测结果，以及企业提供运行时间（挤出、喷码年运行时间1200h/a），本项目VOCs折算为满负荷后排放总量为0.000978t/a，满足批复中总量控制指标0.0063t/。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验收监测期间，监测点位昼间噪声在53.6-60.6(dB)之间，夜间不生产，符合《工业企业厂界环境噪声排放标准》（GB12348－2008）中的3类标准限值。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阳谷大金电缆有限公司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阳谷大金电缆有限公司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1、优化废气收集管道，并定期检查废气收集设施运行情况，确保废气有效收集和处理；</w:t>
      </w:r>
    </w:p>
    <w:p>
      <w:pPr>
        <w:numPr>
          <w:ilvl w:val="0"/>
          <w:numId w:val="0"/>
        </w:numPr>
        <w:spacing w:line="360" w:lineRule="auto"/>
        <w:ind w:firstLine="720" w:firstLineChars="300"/>
        <w:jc w:val="left"/>
        <w:rPr>
          <w:rFonts w:hint="eastAsia" w:cs="Times New Roman"/>
          <w:color w:val="auto"/>
          <w:sz w:val="24"/>
          <w:szCs w:val="24"/>
          <w:lang w:eastAsia="zh-CN"/>
        </w:rPr>
      </w:pPr>
      <w:r>
        <w:rPr>
          <w:rFonts w:hint="eastAsia" w:cs="Times New Roman"/>
          <w:color w:val="auto"/>
          <w:sz w:val="24"/>
          <w:szCs w:val="24"/>
          <w:lang w:val="en-US" w:eastAsia="zh-CN"/>
        </w:rPr>
        <w:t>2、危废暂存间门窗加设防护网</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阳谷大金电缆有限公司验收组</w:t>
      </w:r>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2022年3月19日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03B8"/>
    <w:rsid w:val="01A67464"/>
    <w:rsid w:val="02E1230E"/>
    <w:rsid w:val="0363342C"/>
    <w:rsid w:val="0400088B"/>
    <w:rsid w:val="065D5649"/>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CF76E7"/>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3D87E59"/>
    <w:rsid w:val="56DD1623"/>
    <w:rsid w:val="584674DB"/>
    <w:rsid w:val="59632F9B"/>
    <w:rsid w:val="59772D6C"/>
    <w:rsid w:val="5B994AD0"/>
    <w:rsid w:val="5BB97A85"/>
    <w:rsid w:val="5BCC1FE8"/>
    <w:rsid w:val="5C705EEE"/>
    <w:rsid w:val="5D580A9C"/>
    <w:rsid w:val="5F0C4CFF"/>
    <w:rsid w:val="602A22C2"/>
    <w:rsid w:val="64C4763E"/>
    <w:rsid w:val="65826A80"/>
    <w:rsid w:val="66FB5067"/>
    <w:rsid w:val="6A4209DB"/>
    <w:rsid w:val="6ABA50EB"/>
    <w:rsid w:val="6DEB0CC4"/>
    <w:rsid w:val="6E620EC2"/>
    <w:rsid w:val="70346B17"/>
    <w:rsid w:val="70FA12EC"/>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2634</Words>
  <Characters>2946</Characters>
  <Lines>0</Lines>
  <Paragraphs>0</Paragraphs>
  <TotalTime>1</TotalTime>
  <ScaleCrop>false</ScaleCrop>
  <LinksUpToDate>false</LinksUpToDate>
  <CharactersWithSpaces>2989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2022-04-22T03:38:04Z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5F3E9D957CC14E9F938D06946CE12F19</vt:lpwstr>
  </property>
  <property fmtid="{D5CDD505-2E9C-101B-9397-08002B2CF9AE}" pid="4" name="commondata">
    <vt:lpwstr>eyJoZGlkIjoiMjQwYTNiZWI1N2FhZGJiMDc2OThhNGUzNmFjY2E4ZjUifQ==</vt:lpwstr>
  </property>
</Properties>
</file>