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32"/>
          <w:szCs w:val="32"/>
        </w:rPr>
      </w:pPr>
      <w:r>
        <w:rPr>
          <w:rFonts w:hint="eastAsia" w:cs="Times New Roman"/>
          <w:b/>
          <w:color w:val="auto"/>
          <w:sz w:val="32"/>
          <w:szCs w:val="32"/>
          <w:lang w:val="en-US" w:eastAsia="zh-CN"/>
        </w:rPr>
        <w:t>莘县嘉华砼业有限公司年产商品混凝土60万方、预拌干混砂浆35万吨项目</w:t>
      </w: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240" w:lineRule="auto"/>
        <w:ind w:left="233" w:leftChars="111" w:firstLine="518" w:firstLineChars="216"/>
        <w:jc w:val="left"/>
        <w:textAlignment w:val="auto"/>
        <w:rPr>
          <w:rFonts w:hint="eastAsia" w:cs="Times New Roman"/>
          <w:color w:val="auto"/>
          <w:sz w:val="24"/>
          <w:szCs w:val="24"/>
          <w:highlight w:val="none"/>
          <w:lang w:val="en-US" w:eastAsia="zh-CN"/>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2021年10月23日</w:t>
      </w:r>
      <w:r>
        <w:rPr>
          <w:rFonts w:hint="default" w:ascii="Times New Roman" w:hAnsi="Times New Roman" w:eastAsia="宋体" w:cs="Times New Roman"/>
          <w:color w:val="auto"/>
          <w:sz w:val="28"/>
          <w:szCs w:val="28"/>
          <w:highlight w:val="none"/>
        </w:rPr>
        <w:t>，</w:t>
      </w:r>
      <w:r>
        <w:rPr>
          <w:rFonts w:hint="eastAsia" w:cs="Times New Roman"/>
          <w:color w:val="auto"/>
          <w:sz w:val="28"/>
          <w:szCs w:val="28"/>
          <w:highlight w:val="none"/>
          <w:lang w:val="en-US" w:eastAsia="zh-CN"/>
        </w:rPr>
        <w:t>莘县嘉华砼业有限公司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年产商品混凝土60万方、预拌干混砂浆35万吨项目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莘县嘉华砼业有限公司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莘县嘉华砼业有限公司位于山东省聊城市莘县燕店镇纬一路和经七路交叉口东北角。项目总投资850万元，总占地面积32000m</w:t>
      </w:r>
      <w:r>
        <w:rPr>
          <w:rFonts w:hint="default" w:ascii="Times New Roman" w:hAnsi="Times New Roman" w:eastAsia="宋体" w:cs="Times New Roman"/>
          <w:color w:val="auto"/>
          <w:sz w:val="28"/>
          <w:szCs w:val="28"/>
          <w:vertAlign w:val="superscript"/>
          <w:lang w:eastAsia="zh-CN"/>
        </w:rPr>
        <w:t>2</w:t>
      </w:r>
      <w:r>
        <w:rPr>
          <w:rFonts w:hint="default" w:ascii="Times New Roman" w:hAnsi="Times New Roman" w:eastAsia="宋体" w:cs="Times New Roman"/>
          <w:color w:val="auto"/>
          <w:sz w:val="28"/>
          <w:szCs w:val="28"/>
          <w:lang w:eastAsia="zh-CN"/>
        </w:rPr>
        <w:t>，生产规模可达年产商品混凝土60万方、预拌干混砂浆35万吨。</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聊城市生态环境局莘县分局对建设单位进行了行政处罚（行政处罚决定书见附件10）。2020年10月莘县嘉华砼业有限公司委托山东斐然环保咨询有限公司编制了《莘县嘉华砼业有限公司年产商品混凝土60万方、预拌干混砂浆35万吨项目环境影响报告表》，2020年12月30日莘县行政审批服务局以莘行审报告表〔2020〕97号对其进行了审批。2021年4月公司委托山东聊和环保科技有限公司进行了该项目一期的环保验收监测工作，一期不涉及制砂。2021年10月破碎机购置安装完成，公司委托山东聊和环保科技有限公司进行该项目的环保验收监测工作，2021年10月10日-11日进行了验收监测，根据验收监测结果和现场检查情况编制了本项目验收监测报告。</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850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32.15</w:t>
      </w:r>
      <w:r>
        <w:rPr>
          <w:rFonts w:hint="default" w:ascii="Times New Roman" w:hAnsi="Times New Roman" w:eastAsia="宋体" w:cs="Times New Roman"/>
          <w:color w:val="auto"/>
          <w:sz w:val="28"/>
          <w:szCs w:val="28"/>
        </w:rPr>
        <w:t>万元</w:t>
      </w:r>
      <w:r>
        <w:rPr>
          <w:rFonts w:hint="eastAsia" w:cs="Times New Roman"/>
          <w:color w:val="auto"/>
          <w:sz w:val="28"/>
          <w:szCs w:val="28"/>
          <w:lang w:eastAsia="zh-CN"/>
        </w:rPr>
        <w:t>，</w:t>
      </w:r>
      <w:r>
        <w:rPr>
          <w:rFonts w:hint="default" w:ascii="Times New Roman" w:hAnsi="Times New Roman" w:eastAsia="宋体" w:cs="Times New Roman"/>
          <w:color w:val="auto"/>
          <w:sz w:val="28"/>
          <w:szCs w:val="28"/>
        </w:rPr>
        <w:t>占总投资</w:t>
      </w:r>
      <w:r>
        <w:rPr>
          <w:rFonts w:hint="eastAsia" w:cs="Times New Roman"/>
          <w:color w:val="auto"/>
          <w:sz w:val="28"/>
          <w:szCs w:val="28"/>
          <w:lang w:val="en-US" w:eastAsia="zh-CN"/>
        </w:rPr>
        <w:t>3.78</w:t>
      </w:r>
      <w:r>
        <w:rPr>
          <w:rFonts w:hint="default" w:ascii="Times New Roman" w:hAnsi="Times New Roman" w:eastAsia="宋体" w:cs="Times New Roman"/>
          <w:color w:val="auto"/>
          <w:sz w:val="28"/>
          <w:szCs w:val="28"/>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eastAsia="zh-CN"/>
        </w:rPr>
        <w:t>年产商品混凝土60万方、预拌干混砂浆35万吨</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本项目性质、规模、地点、生产工艺以及环境保护措施均无明显变动，参阅《关于印发环评管理中部分行业建设项目重大变动清单的通知》环办[2015]52号及《关于印发制浆造纸等十四个行业建设项目重大变动清单的通知》（环办环评〔2018〕6号）附件12“水泥建设项目重大变动清单”，本项目不涉及重大变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eastAsia" w:cs="Times New Roman"/>
          <w:color w:val="auto"/>
          <w:sz w:val="28"/>
          <w:szCs w:val="28"/>
          <w:lang w:eastAsia="zh-CN"/>
        </w:rPr>
        <w:t>三、</w:t>
      </w:r>
      <w:r>
        <w:rPr>
          <w:rFonts w:hint="default" w:ascii="Times New Roman" w:hAnsi="Times New Roman" w:eastAsia="宋体" w:cs="Times New Roman"/>
          <w:color w:val="auto"/>
          <w:sz w:val="28"/>
          <w:szCs w:val="28"/>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本项目生产设备冲洗和车辆冲洗废水经沉淀后循环利用，不外排；废水主要为生活污水，经化粪池处理后定期清运，不外排。</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本项目废气主要是卸料粉尘、堆场扬尘，破碎粉尘、筛分粉尘，砂石投料粉尘，筒仓呼吸粉尘，搅拌粉尘及汽车运输动力粉尘。</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对于卸料粉尘和堆场扬尘，采取封闭车间，在原料库上方加装喷雾系统，对车间进行喷雾降尘后无组织排放；对于破碎粉尘、筛分粉尘、投料粉尘、筒仓呼吸粉尘和搅拌粉尘，通过集气罩收集后采用反吹式脉冲袋式除尘器处理，采取封闭车间和筒仓，并在车间四周安装喷雾系统，净化后无组织排放；对于汽车运输动力粉尘，采取运输车辆进出厂进行清洗、加强道路洒水，降低车辆运输粉尘。</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本项目噪声主要为搅拌机、除尘器风机等设备运行时产生的噪声，通过采取车间隔声、基础减振、距离衰减等措施，降低对外环境的影响。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废主要为不合格砂子、石子、不合格产品、沉淀池沉淀物、除尘器除尘灰、生活垃圾及废润滑油。对于不合格砂子、石子、不合格产品，外运作为路基填土和场地平整；对于沉淀池沉淀物和除尘器除尘灰，收集后回用于生产；对于员工生活垃圾，委托环卫部门统一收集清运。废润滑油（危废代码：900-217-08）属于危险废物，产生后暂存于危废间，并委托有资质的单位进行处理。</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莘县嘉华砼业有限公司年产商品混凝土60万方、预拌干混砂浆35万吨项目</w:t>
      </w:r>
      <w:r>
        <w:rPr>
          <w:rFonts w:hint="default" w:ascii="Times New Roman" w:hAnsi="Times New Roman" w:eastAsia="宋体" w:cs="Times New Roman"/>
          <w:color w:val="auto"/>
          <w:sz w:val="28"/>
          <w:szCs w:val="28"/>
        </w:rPr>
        <w:t>竣工环境保护验收监测报告》监测结果表明：</w:t>
      </w:r>
    </w:p>
    <w:p>
      <w:pPr>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eastAsia="zh-CN"/>
        </w:rPr>
        <w:t>同上文三、（一）</w:t>
      </w:r>
      <w:r>
        <w:rPr>
          <w:rFonts w:hint="default" w:ascii="Times New Roman" w:hAnsi="Times New Roman" w:eastAsia="宋体" w:cs="Times New Roman"/>
          <w:color w:val="auto"/>
          <w:sz w:val="28"/>
          <w:szCs w:val="28"/>
          <w:lang w:val="en-US" w:eastAsia="zh-CN"/>
        </w:rPr>
        <w:t>。</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lang w:val="en-US" w:eastAsia="zh-CN"/>
        </w:rPr>
        <w:t>验收监测期间，无组织颗粒物小时浓度最高为0.</w:t>
      </w:r>
      <w:r>
        <w:rPr>
          <w:rFonts w:hint="eastAsia" w:cs="Times New Roman"/>
          <w:color w:val="auto"/>
          <w:sz w:val="28"/>
          <w:szCs w:val="28"/>
          <w:lang w:val="en-US" w:eastAsia="zh-CN"/>
        </w:rPr>
        <w:t>460</w:t>
      </w:r>
      <w:r>
        <w:rPr>
          <w:rFonts w:hint="default" w:ascii="Times New Roman" w:hAnsi="Times New Roman" w:eastAsia="宋体" w:cs="Times New Roman"/>
          <w:color w:val="auto"/>
          <w:sz w:val="28"/>
          <w:szCs w:val="28"/>
          <w:lang w:val="en-US" w:eastAsia="zh-CN"/>
        </w:rPr>
        <w:t>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，满足《水泥工业大气污染物排放标准》（GB4915-2013）表3及《建材工业大气污染物排放标准》（DB 37/ 2373-2018）表3无组织排放标准。</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560" w:firstLineChars="200"/>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验收监测期间，监测点位昼间噪声在52.1-54.9(dB)之间，夜间不生产，符合《工业企业厂界环境噪声排放标准》（GB12348-2008）中2类标准要求。</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cs="Times New Roman"/>
          <w:color w:val="auto"/>
          <w:sz w:val="28"/>
          <w:szCs w:val="28"/>
          <w:lang w:eastAsia="zh-CN"/>
        </w:rPr>
      </w:pPr>
      <w:r>
        <w:rPr>
          <w:rFonts w:hint="eastAsia" w:cs="Times New Roman"/>
          <w:color w:val="auto"/>
          <w:sz w:val="28"/>
          <w:szCs w:val="28"/>
          <w:lang w:val="zh-CN" w:eastAsia="zh-CN"/>
        </w:rPr>
        <w:t>同上文三、（四）</w:t>
      </w:r>
      <w:r>
        <w:rPr>
          <w:rFonts w:hint="default" w:cs="Times New Roman"/>
          <w:color w:val="auto"/>
          <w:sz w:val="28"/>
          <w:szCs w:val="28"/>
          <w:lang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cs="Times New Roman"/>
          <w:color w:val="auto"/>
          <w:sz w:val="28"/>
          <w:szCs w:val="28"/>
          <w:lang w:val="zh-CN" w:eastAsia="zh-CN"/>
        </w:rPr>
      </w:pPr>
      <w:r>
        <w:rPr>
          <w:rFonts w:hint="default" w:cs="Times New Roman"/>
          <w:color w:val="auto"/>
          <w:sz w:val="28"/>
          <w:szCs w:val="28"/>
          <w:lang w:val="zh-CN" w:eastAsia="zh-CN"/>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eastAsia" w:cs="Times New Roman"/>
          <w:color w:val="auto"/>
          <w:sz w:val="28"/>
          <w:szCs w:val="28"/>
          <w:lang w:eastAsia="zh-CN"/>
        </w:rPr>
        <w:t>莘县嘉华砼业有限公司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莘县嘉华砼业有限公司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11"/>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除尘器收尘口采用软连接；</w:t>
      </w:r>
    </w:p>
    <w:p>
      <w:pPr>
        <w:pStyle w:val="11"/>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建议对各传送带加设遮盖，下方加设托盘；</w:t>
      </w:r>
    </w:p>
    <w:p>
      <w:pPr>
        <w:pStyle w:val="11"/>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破碎工序四周进一步密闭。</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六、</w:t>
      </w:r>
      <w:r>
        <w:rPr>
          <w:rFonts w:hint="default" w:ascii="Times New Roman" w:hAnsi="Times New Roman" w:eastAsia="宋体" w:cs="Times New Roman"/>
          <w:color w:val="auto"/>
          <w:sz w:val="28"/>
          <w:szCs w:val="28"/>
          <w:highlight w:val="none"/>
        </w:rPr>
        <w:t>验收结论</w:t>
      </w:r>
      <w:bookmarkStart w:id="0" w:name="_GoBack"/>
      <w:bookmarkEnd w:id="0"/>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鉴于项目符合国家和地方相关产业标准及准入要求，用地符合当地规划，环保设施与生产配套，验收期间各项监测指标满足国家相关排放标准，该项目通过环保验收。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right"/>
        <w:textAlignment w:val="auto"/>
        <w:rPr>
          <w:rFonts w:hint="eastAsia" w:cs="Times New Roman"/>
          <w:color w:val="auto"/>
          <w:sz w:val="28"/>
          <w:szCs w:val="28"/>
          <w:highlight w:val="none"/>
          <w:lang w:eastAsia="zh-CN"/>
        </w:rPr>
      </w:pPr>
    </w:p>
    <w:p>
      <w:pPr>
        <w:keepNext w:val="0"/>
        <w:keepLines w:val="0"/>
        <w:pageBreakBefore w:val="0"/>
        <w:kinsoku/>
        <w:wordWrap/>
        <w:overflowPunct/>
        <w:topLinePunct w:val="0"/>
        <w:autoSpaceDE/>
        <w:autoSpaceDN/>
        <w:bidi w:val="0"/>
        <w:adjustRightInd w:val="0"/>
        <w:snapToGrid w:val="0"/>
        <w:spacing w:line="360" w:lineRule="auto"/>
        <w:ind w:left="233" w:leftChars="111" w:firstLine="607" w:firstLineChars="216"/>
        <w:jc w:val="right"/>
        <w:textAlignment w:val="auto"/>
        <w:rPr>
          <w:rFonts w:hint="default" w:ascii="Times New Roman" w:hAnsi="Times New Roman" w:eastAsia="宋体" w:cs="Times New Roman"/>
          <w:b/>
          <w:bCs/>
          <w:color w:val="auto"/>
          <w:sz w:val="28"/>
          <w:szCs w:val="28"/>
          <w:highlight w:val="none"/>
        </w:rPr>
      </w:pPr>
      <w:r>
        <w:rPr>
          <w:rFonts w:hint="eastAsia" w:cs="Times New Roman"/>
          <w:b/>
          <w:bCs/>
          <w:color w:val="auto"/>
          <w:sz w:val="28"/>
          <w:szCs w:val="28"/>
          <w:highlight w:val="none"/>
          <w:lang w:eastAsia="zh-CN"/>
        </w:rPr>
        <w:t>莘县嘉华砼业有限公司</w:t>
      </w:r>
      <w:r>
        <w:rPr>
          <w:rFonts w:hint="default" w:ascii="Times New Roman" w:hAnsi="Times New Roman" w:eastAsia="宋体" w:cs="Times New Roman"/>
          <w:b/>
          <w:bCs/>
          <w:color w:val="auto"/>
          <w:sz w:val="28"/>
          <w:szCs w:val="28"/>
          <w:highlight w:val="none"/>
        </w:rPr>
        <w:t>验收组</w:t>
      </w:r>
    </w:p>
    <w:p>
      <w:pPr>
        <w:keepNext w:val="0"/>
        <w:keepLines w:val="0"/>
        <w:pageBreakBefore w:val="0"/>
        <w:kinsoku/>
        <w:wordWrap/>
        <w:overflowPunct/>
        <w:topLinePunct w:val="0"/>
        <w:autoSpaceDE/>
        <w:autoSpaceDN/>
        <w:bidi w:val="0"/>
        <w:adjustRightInd w:val="0"/>
        <w:snapToGrid w:val="0"/>
        <w:spacing w:line="360" w:lineRule="auto"/>
        <w:ind w:left="233" w:leftChars="111" w:firstLine="607" w:firstLineChars="216"/>
        <w:jc w:val="right"/>
        <w:textAlignment w:val="auto"/>
        <w:rPr>
          <w:rFonts w:hint="eastAsia" w:eastAsia="宋体"/>
          <w:b/>
          <w:bCs/>
          <w:lang w:eastAsia="zh-CN"/>
        </w:rPr>
      </w:pPr>
      <w:r>
        <w:rPr>
          <w:rFonts w:hint="default" w:ascii="Times New Roman" w:hAnsi="Times New Roman" w:eastAsia="宋体" w:cs="Times New Roman"/>
          <w:b/>
          <w:bCs/>
          <w:color w:val="auto"/>
          <w:sz w:val="28"/>
          <w:szCs w:val="28"/>
          <w:highlight w:val="none"/>
        </w:rPr>
        <w:t xml:space="preserve">                                </w:t>
      </w:r>
      <w:r>
        <w:rPr>
          <w:rFonts w:hint="eastAsia" w:cs="Times New Roman"/>
          <w:b/>
          <w:bCs/>
          <w:color w:val="auto"/>
          <w:sz w:val="28"/>
          <w:szCs w:val="28"/>
          <w:highlight w:val="none"/>
          <w:lang w:eastAsia="zh-CN"/>
        </w:rPr>
        <w:t>2021年10月23日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1A67464"/>
    <w:rsid w:val="02E1230E"/>
    <w:rsid w:val="0363342C"/>
    <w:rsid w:val="0400088B"/>
    <w:rsid w:val="0705220E"/>
    <w:rsid w:val="071B7388"/>
    <w:rsid w:val="07D23E1C"/>
    <w:rsid w:val="0A775B6C"/>
    <w:rsid w:val="0BB105F9"/>
    <w:rsid w:val="0BCD78E3"/>
    <w:rsid w:val="0BD4352F"/>
    <w:rsid w:val="0D002E61"/>
    <w:rsid w:val="0E656444"/>
    <w:rsid w:val="0E9F521D"/>
    <w:rsid w:val="0FE85ED3"/>
    <w:rsid w:val="110D6D4E"/>
    <w:rsid w:val="126A6033"/>
    <w:rsid w:val="129B4442"/>
    <w:rsid w:val="13242E95"/>
    <w:rsid w:val="17073D8B"/>
    <w:rsid w:val="188E6607"/>
    <w:rsid w:val="18D05E89"/>
    <w:rsid w:val="19BD6A9B"/>
    <w:rsid w:val="1A3F7DAE"/>
    <w:rsid w:val="1AAF6CA7"/>
    <w:rsid w:val="1B753DC5"/>
    <w:rsid w:val="1C1262AC"/>
    <w:rsid w:val="1DCD1CD5"/>
    <w:rsid w:val="1DD83AFD"/>
    <w:rsid w:val="1E9D1B02"/>
    <w:rsid w:val="20F95110"/>
    <w:rsid w:val="21E62141"/>
    <w:rsid w:val="23253252"/>
    <w:rsid w:val="24D37795"/>
    <w:rsid w:val="24DD3549"/>
    <w:rsid w:val="26AB3266"/>
    <w:rsid w:val="26B31202"/>
    <w:rsid w:val="27420539"/>
    <w:rsid w:val="27776D4F"/>
    <w:rsid w:val="284C33EF"/>
    <w:rsid w:val="286B6E9D"/>
    <w:rsid w:val="2A636C42"/>
    <w:rsid w:val="2B1967AA"/>
    <w:rsid w:val="2BAC752B"/>
    <w:rsid w:val="2BD129D7"/>
    <w:rsid w:val="2BFB35B9"/>
    <w:rsid w:val="2C8345D6"/>
    <w:rsid w:val="2DE61E9D"/>
    <w:rsid w:val="2E594393"/>
    <w:rsid w:val="2E5F2E3E"/>
    <w:rsid w:val="31572BC2"/>
    <w:rsid w:val="33E80446"/>
    <w:rsid w:val="35A21894"/>
    <w:rsid w:val="35CA7C00"/>
    <w:rsid w:val="371221B6"/>
    <w:rsid w:val="3A4A0284"/>
    <w:rsid w:val="3B2962D5"/>
    <w:rsid w:val="3B697ACE"/>
    <w:rsid w:val="3B9345B4"/>
    <w:rsid w:val="3C495586"/>
    <w:rsid w:val="3C614E95"/>
    <w:rsid w:val="3D216C63"/>
    <w:rsid w:val="3D481CA9"/>
    <w:rsid w:val="3D9A76CF"/>
    <w:rsid w:val="425A3055"/>
    <w:rsid w:val="42D02360"/>
    <w:rsid w:val="42ED0B8D"/>
    <w:rsid w:val="440B2C50"/>
    <w:rsid w:val="45B12AB5"/>
    <w:rsid w:val="49B824E4"/>
    <w:rsid w:val="4BC32318"/>
    <w:rsid w:val="4D966CB6"/>
    <w:rsid w:val="4ED8058F"/>
    <w:rsid w:val="51603323"/>
    <w:rsid w:val="52082039"/>
    <w:rsid w:val="520B1012"/>
    <w:rsid w:val="537E6D51"/>
    <w:rsid w:val="54543AC0"/>
    <w:rsid w:val="556E616E"/>
    <w:rsid w:val="55B466E2"/>
    <w:rsid w:val="56DD1623"/>
    <w:rsid w:val="58D50062"/>
    <w:rsid w:val="5B994AD0"/>
    <w:rsid w:val="5BB97A85"/>
    <w:rsid w:val="5C705EEE"/>
    <w:rsid w:val="5CD21C9F"/>
    <w:rsid w:val="5D580A9C"/>
    <w:rsid w:val="5F0C4CFF"/>
    <w:rsid w:val="5F976D08"/>
    <w:rsid w:val="602A22C2"/>
    <w:rsid w:val="62D0451F"/>
    <w:rsid w:val="631C28B8"/>
    <w:rsid w:val="64C4763E"/>
    <w:rsid w:val="65826A80"/>
    <w:rsid w:val="66FB5067"/>
    <w:rsid w:val="69BB0050"/>
    <w:rsid w:val="6A4209DB"/>
    <w:rsid w:val="6ABA50EB"/>
    <w:rsid w:val="6B8F0525"/>
    <w:rsid w:val="6DEB0CC4"/>
    <w:rsid w:val="6E620EC2"/>
    <w:rsid w:val="72964393"/>
    <w:rsid w:val="72C90F73"/>
    <w:rsid w:val="73223BF6"/>
    <w:rsid w:val="73E11EE4"/>
    <w:rsid w:val="7593546D"/>
    <w:rsid w:val="75C3338A"/>
    <w:rsid w:val="76AB541C"/>
    <w:rsid w:val="76CF4204"/>
    <w:rsid w:val="77930543"/>
    <w:rsid w:val="79A0598C"/>
    <w:rsid w:val="7C9756A0"/>
    <w:rsid w:val="7E132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tabs>
        <w:tab w:val="center" w:pos="4153"/>
        <w:tab w:val="right" w:pos="8306"/>
      </w:tabs>
      <w:snapToGrid w:val="0"/>
    </w:pPr>
    <w:rPr>
      <w:rFonts w:ascii="Times New Roman" w:hAnsi="Times New Roman"/>
      <w:sz w:val="18"/>
    </w:rPr>
  </w:style>
  <w:style w:type="paragraph" w:customStyle="1" w:styleId="9">
    <w:name w:val="正文1"/>
    <w:basedOn w:val="1"/>
    <w:next w:val="1"/>
    <w:qFormat/>
    <w:uiPriority w:val="0"/>
    <w:pPr>
      <w:widowControl/>
      <w:spacing w:line="440" w:lineRule="exact"/>
      <w:ind w:firstLine="425"/>
    </w:pPr>
    <w:rPr>
      <w:rFonts w:ascii="宋体" w:hAnsi="宋体"/>
      <w:color w:val="000000"/>
      <w:sz w:val="24"/>
      <w:szCs w:val="24"/>
    </w:rPr>
  </w:style>
  <w:style w:type="paragraph" w:styleId="10">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semiHidden/>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paragraph" w:styleId="13">
    <w:name w:val="Body Text First Indent"/>
    <w:basedOn w:val="4"/>
    <w:qFormat/>
    <w:uiPriority w:val="0"/>
    <w:pPr>
      <w:ind w:firstLine="420" w:firstLineChars="100"/>
    </w:pPr>
    <w:rPr>
      <w:szCs w:val="24"/>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7">
    <w:name w:val="List Paragraph"/>
    <w:basedOn w:val="1"/>
    <w:qFormat/>
    <w:uiPriority w:val="99"/>
    <w:pPr>
      <w:ind w:firstLine="420" w:firstLineChars="200"/>
    </w:p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2194</Words>
  <Characters>2336</Characters>
  <Lines>0</Lines>
  <Paragraphs>0</Paragraphs>
  <TotalTime>44</TotalTime>
  <ScaleCrop>false</ScaleCrop>
  <LinksUpToDate>false</LinksUpToDate>
  <CharactersWithSpaces>2372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2022-05-03T00:59:09Z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91DE6736D2534F9A9C16B610DAF8F981</vt:lpwstr>
  </property>
</Properties>
</file>