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山东美佳乐食品科技有限公司年产800吨植脂奶油项目</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000000" w:themeColor="text1"/>
          <w:sz w:val="24"/>
          <w:szCs w:val="24"/>
          <w:highlight w:val="none"/>
          <w:lang w:eastAsia="zh-CN"/>
          <w14:textFill>
            <w14:solidFill>
              <w14:schemeClr w14:val="tx1"/>
            </w14:solidFill>
          </w14:textFill>
        </w:rPr>
        <w:t>2022年5月15日</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山东美佳乐食品科技有限公司</w:t>
      </w:r>
      <w:r>
        <w:rPr>
          <w:rFonts w:hint="default" w:ascii="Times New Roman" w:hAnsi="Times New Roman" w:eastAsia="宋体" w:cs="Times New Roman"/>
          <w:color w:val="000000" w:themeColor="text1"/>
          <w:sz w:val="24"/>
          <w:szCs w:val="24"/>
          <w:highlight w:val="none"/>
          <w14:textFill>
            <w14:solidFill>
              <w14:schemeClr w14:val="tx1"/>
            </w14:solidFill>
          </w14:textFill>
        </w:rPr>
        <w:t>组织召开</w:t>
      </w:r>
      <w:r>
        <w:rPr>
          <w:rFonts w:hint="eastAsia" w:cs="Times New Roman"/>
          <w:color w:val="000000" w:themeColor="text1"/>
          <w:sz w:val="24"/>
          <w:szCs w:val="24"/>
          <w:highlight w:val="none"/>
          <w:lang w:val="en-US" w:eastAsia="zh-CN"/>
          <w14:textFill>
            <w14:solidFill>
              <w14:schemeClr w14:val="tx1"/>
            </w14:solidFill>
          </w14:textFill>
        </w:rPr>
        <w:t>年产800吨植脂奶油项目</w:t>
      </w:r>
      <w:r>
        <w:rPr>
          <w:rFonts w:hint="default" w:ascii="Times New Roman" w:hAnsi="Times New Roman" w:eastAsia="宋体" w:cs="Times New Roman"/>
          <w:color w:val="000000" w:themeColor="text1"/>
          <w:sz w:val="24"/>
          <w:szCs w:val="24"/>
          <w:highlight w:val="none"/>
          <w14:textFill>
            <w14:solidFill>
              <w14:schemeClr w14:val="tx1"/>
            </w14:solidFill>
          </w14:textFill>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山东美佳乐食品科技有限公司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山东美佳乐食品科技有限公司位于山东省聊城市莘县莘亭街道办事处宏图街32号，总投资200万元，占地面积2000m</w:t>
      </w:r>
      <w:r>
        <w:rPr>
          <w:rFonts w:hint="eastAsia" w:cs="Times New Roman"/>
          <w:color w:val="auto"/>
          <w:sz w:val="24"/>
          <w:szCs w:val="24"/>
          <w:vertAlign w:val="superscript"/>
          <w:lang w:eastAsia="zh-CN"/>
        </w:rPr>
        <w:t>2</w:t>
      </w:r>
      <w:r>
        <w:rPr>
          <w:rFonts w:hint="eastAsia" w:cs="Times New Roman"/>
          <w:color w:val="auto"/>
          <w:sz w:val="24"/>
          <w:szCs w:val="24"/>
          <w:lang w:eastAsia="zh-CN"/>
        </w:rPr>
        <w:t>，租赁车间建设年产800吨植脂奶油项目。项目购置纯净水加热缸、原料加热缸，电子计量缸、混料缸、中转缸、均质机、板式交换机、成品缸，制冷机等设备，通过化油、混合、均质、冷却、灌装、速冻、包装等工艺，以鸡蛋、氧化榕树植物油、白砂糖、玉米糖浆、香料、食品添加剂等作为原辅材料，制成植脂奶油</w:t>
      </w:r>
      <w:r>
        <w:rPr>
          <w:rFonts w:hint="default" w:ascii="Times New Roman" w:hAnsi="Times New Roman" w:eastAsia="宋体"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本项目为新建项目。2019年8月山东美佳乐食品科技有限公司委托山东斐然环保咨询有限公司编制了《山东美佳乐食品科技有限公司年产800吨植脂奶油项目环境影响报告表》，2020年1月15日莘县行政审批服务局以莘行审报告表〔2020〕5号对其进行了审批。2021年12月公司委托山东绿和环保咨询有限公司进行本项目的环保验收工作，本次验收为改扩建项目。山东绿和环保咨询有限公司组织有关技术人员进行现场踏勘，依据监测技术规范制定了环保验收监测方案，并委托山东聊和环保科技有限公司于2022年04月19日-20日对该企业进行了项目检测，根据验收监测结果和现场检查情况，山东绿和环保咨询有限公司编制了本项目验收监测报告</w:t>
      </w:r>
      <w:r>
        <w:rPr>
          <w:rFonts w:hint="default" w:ascii="Times New Roman" w:hAnsi="Times New Roman" w:eastAsia="宋体" w:cs="Times New Roman"/>
          <w:color w:val="auto"/>
          <w:kern w:val="2"/>
          <w:sz w:val="24"/>
          <w:szCs w:val="24"/>
          <w:lang w:val="en-US" w:eastAsia="zh-CN" w:bidi="ar-SA"/>
        </w:rPr>
        <w:t>。</w:t>
      </w:r>
    </w:p>
    <w:p>
      <w:pP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br w:type="page"/>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200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12</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6</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年产800吨植脂奶油</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本项目实际纯水制备未使用活性炭及离子交换树脂，仅用反渗透膜，故不产生环评及批复描述的废活性炭和废弃离子交换树脂，废反渗透膜属于一般固体废物，由生产厂家回收利用；危险废物为设备维护产生的废机油</w:t>
      </w:r>
      <w:bookmarkStart w:id="0" w:name="_GoBack"/>
      <w:bookmarkEnd w:id="0"/>
      <w:r>
        <w:rPr>
          <w:rFonts w:hint="eastAsia" w:cs="Times New Roman"/>
          <w:color w:val="auto"/>
          <w:sz w:val="24"/>
          <w:szCs w:val="24"/>
          <w:lang w:eastAsia="zh-CN"/>
        </w:rPr>
        <w:t>，</w:t>
      </w:r>
      <w:r>
        <w:rPr>
          <w:rFonts w:hint="default" w:ascii="Times New Roman" w:hAnsi="Times New Roman" w:eastAsia="宋体" w:cs="Times New Roman"/>
          <w:color w:val="auto"/>
          <w:sz w:val="24"/>
          <w:szCs w:val="24"/>
        </w:rPr>
        <w:t>产生后暂存于危废暂存间，委托有资质单位处理</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根据《关于印发污染影响类建设项目重大变动清单（试行）的通知》环办环评函〔2020〕688号，本项目性质、规模、地点、生产工艺以及环境保护措施均不涉及重大变动。</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本项目废水主要为生产废水（纯水制备工序废水、车间地面及设备清洗废水）和生活污水。生产废水经厂区污水处理站处理后，与生活污水一起排至市政管网，最终由莘县康达水务有限公司处理后外排。</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本项目废气主要为污水处理站恶臭，以无组织形式排放。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本项目噪声主要为制冷装备、均质机等设备运行时产生的机械噪声。通过选用低噪声设备，采取基础减振、距离衰减等措施，降低对外环境的影响。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本项目固体废物主要为包装产生的废包装材料、职工生活垃圾、污水处理站污泥、纯水制备系统定期更换产生的废反渗透膜、设备维护产生的废机油。</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废包装材料收集后外售需求单位；厂区设垃圾桶，集中收集生活垃圾，与污水处理站污泥一并交由当地环卫部门定期清运；废反渗透膜收集后由生产厂家回收利用；废机油属于危险废物，产生后暂存于危废暂存间，委托有资质单位处理。</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p>
    <w:p>
      <w:pPr>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br w:type="page"/>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山东美佳乐食品科技有限公司年产800吨植脂奶油项目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cs="Times New Roman"/>
          <w:color w:val="auto"/>
          <w:sz w:val="24"/>
          <w:szCs w:val="24"/>
          <w:lang w:val="en-US" w:eastAsia="zh-CN"/>
        </w:rPr>
      </w:pPr>
      <w:r>
        <w:rPr>
          <w:rFonts w:hint="default" w:cs="Times New Roman"/>
          <w:color w:val="auto"/>
          <w:sz w:val="24"/>
          <w:szCs w:val="24"/>
          <w:lang w:val="en-US" w:eastAsia="zh-CN"/>
        </w:rPr>
        <w:t>验收监测期间，废水pH为7.5-7.6，化学需氧量最高排放浓度为24mg/L，五日生化需氧量最高排放浓度为5.9mg/L，氨氮最高排放浓度为1.82mg/L，悬浮物最高排放浓度为7mg/L，溶解性总固体最高排放浓度为1870mg/L，动植物油最高排放浓度为0.06mg/L，均满足《污水排入城镇下水道水质标准》（GB/T 31962-2015）表1中B等级标准及</w:t>
      </w:r>
      <w:r>
        <w:rPr>
          <w:rFonts w:hint="eastAsia" w:cs="Times New Roman"/>
          <w:color w:val="auto"/>
          <w:sz w:val="24"/>
          <w:szCs w:val="24"/>
          <w:lang w:val="en-US" w:eastAsia="zh-CN"/>
        </w:rPr>
        <w:t>莘县康达水务有限公司</w:t>
      </w:r>
      <w:r>
        <w:rPr>
          <w:rFonts w:hint="default" w:cs="Times New Roman"/>
          <w:color w:val="auto"/>
          <w:sz w:val="24"/>
          <w:szCs w:val="24"/>
          <w:lang w:val="en-US" w:eastAsia="zh-CN"/>
        </w:rPr>
        <w:t>进水水质要求。</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验收监测期间，无组织臭气浓度小时浓度最高为15，氨小时浓度最高为0.35mg/m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，硫化氢小时浓度最高为0.007mg/m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，均满足《恶臭污染物排放标准》（GB14554-93）表1中二级标准及《挥发性有机物排放标准 第7部分 其他行业》（DB37/ 2801.7-2019）表2限值要求。</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验收监测期间，监测点位昼间噪声在50.4-54.7(dB)之间，夜间不生产，符合《工业企业厂界环境噪声排放标准》（GB12348－2008）中的3类标准限值。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山东美佳乐食品科技有限公司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山东美佳乐食品科技有限公司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Chars="327"/>
        <w:jc w:val="left"/>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1、合理维护厂区污水处理站，定期检查运行情况，保证废水可达标排放。</w:t>
      </w:r>
    </w:p>
    <w:p>
      <w:pPr>
        <w:spacing w:line="360" w:lineRule="auto"/>
        <w:ind w:left="233" w:leftChars="111" w:firstLine="518" w:firstLineChars="216"/>
        <w:rPr>
          <w:rFonts w:hint="eastAsia" w:cs="Times New Roman"/>
          <w:color w:val="auto"/>
          <w:sz w:val="24"/>
          <w:szCs w:val="24"/>
          <w:lang w:eastAsia="zh-CN"/>
        </w:rPr>
      </w:pPr>
      <w:r>
        <w:rPr>
          <w:rFonts w:hint="eastAsia" w:cs="Times New Roman"/>
          <w:color w:val="auto"/>
          <w:sz w:val="24"/>
          <w:szCs w:val="24"/>
          <w:lang w:val="en-US" w:eastAsia="zh-CN"/>
        </w:rPr>
        <w:t>2、进一步规范危废暂存间，门窗加设防护网，危险废物严格按照《危险废物贮存污染控制标准》（GB18597-2001）及修改单要求，对产生的危险废物进行贮存和管理，并委托有资质的单位及时进行转移处置</w:t>
      </w:r>
      <w:r>
        <w:rPr>
          <w:rFonts w:hint="default"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wordWrap w:val="0"/>
        <w:spacing w:line="360" w:lineRule="auto"/>
        <w:ind w:left="233" w:leftChars="111" w:firstLine="520" w:firstLineChars="216"/>
        <w:jc w:val="right"/>
        <w:rPr>
          <w:rFonts w:hint="eastAsia" w:cs="Times New Roman"/>
          <w:b/>
          <w:bCs/>
          <w:color w:val="auto"/>
          <w:sz w:val="24"/>
          <w:szCs w:val="24"/>
          <w:lang w:val="en-US" w:eastAsia="zh-CN"/>
        </w:rPr>
      </w:pPr>
    </w:p>
    <w:p>
      <w:pPr>
        <w:wordWrap w:val="0"/>
        <w:spacing w:line="360" w:lineRule="auto"/>
        <w:ind w:left="233" w:leftChars="111" w:firstLine="520" w:firstLineChars="216"/>
        <w:jc w:val="right"/>
        <w:rPr>
          <w:rFonts w:hint="default" w:cs="Times New Roman"/>
          <w:b/>
          <w:bCs/>
          <w:color w:val="auto"/>
          <w:sz w:val="24"/>
          <w:szCs w:val="24"/>
          <w:lang w:val="en-US" w:eastAsia="zh-CN"/>
        </w:rPr>
      </w:pPr>
      <w:r>
        <w:rPr>
          <w:rFonts w:hint="eastAsia" w:cs="Times New Roman"/>
          <w:b/>
          <w:bCs/>
          <w:color w:val="auto"/>
          <w:sz w:val="24"/>
          <w:szCs w:val="24"/>
          <w:lang w:val="en-US" w:eastAsia="zh-CN"/>
        </w:rPr>
        <w:t xml:space="preserve"> </w:t>
      </w: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山东美佳乐食品科技有限公司验收组</w:t>
      </w:r>
    </w:p>
    <w:p>
      <w:pPr>
        <w:spacing w:line="360" w:lineRule="auto"/>
        <w:ind w:left="233" w:leftChars="111" w:firstLine="520" w:firstLineChars="216"/>
        <w:jc w:val="right"/>
        <w:rPr>
          <w:rFonts w:hint="default"/>
          <w:color w:val="000000" w:themeColor="text1"/>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xml:space="preserve">                      </w:t>
      </w:r>
      <w:r>
        <w:rPr>
          <w:rFonts w:hint="eastAsia" w:cs="Times New Roman"/>
          <w:b/>
          <w:bCs/>
          <w:color w:val="000000" w:themeColor="text1"/>
          <w:sz w:val="24"/>
          <w:szCs w:val="24"/>
          <w:highlight w:val="none"/>
          <w:lang w:eastAsia="zh-CN"/>
          <w14:textFill>
            <w14:solidFill>
              <w14:schemeClr w14:val="tx1"/>
            </w14:solidFill>
          </w14:textFill>
        </w:rPr>
        <w:t>2022年5月15日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12A5FFC"/>
    <w:rsid w:val="01A67464"/>
    <w:rsid w:val="02E1230E"/>
    <w:rsid w:val="0363342C"/>
    <w:rsid w:val="0400088B"/>
    <w:rsid w:val="06DC5C52"/>
    <w:rsid w:val="0705220E"/>
    <w:rsid w:val="07E235D4"/>
    <w:rsid w:val="0A775B6C"/>
    <w:rsid w:val="0BB105F9"/>
    <w:rsid w:val="0BCD78E3"/>
    <w:rsid w:val="0BD4352F"/>
    <w:rsid w:val="0C9D7A18"/>
    <w:rsid w:val="0D002E61"/>
    <w:rsid w:val="0DA62E62"/>
    <w:rsid w:val="0E9F521D"/>
    <w:rsid w:val="0FD64E9F"/>
    <w:rsid w:val="110D6D4E"/>
    <w:rsid w:val="12BE4513"/>
    <w:rsid w:val="13242E95"/>
    <w:rsid w:val="14A230EF"/>
    <w:rsid w:val="17073D8B"/>
    <w:rsid w:val="188E6607"/>
    <w:rsid w:val="18B2210E"/>
    <w:rsid w:val="18D05E89"/>
    <w:rsid w:val="19BD6A9B"/>
    <w:rsid w:val="1AAF6CA7"/>
    <w:rsid w:val="1B753DC5"/>
    <w:rsid w:val="1B7C7285"/>
    <w:rsid w:val="1BAC68BE"/>
    <w:rsid w:val="1CB626A7"/>
    <w:rsid w:val="1DF30D46"/>
    <w:rsid w:val="1E9D1B02"/>
    <w:rsid w:val="20F95110"/>
    <w:rsid w:val="21E62141"/>
    <w:rsid w:val="23253252"/>
    <w:rsid w:val="24DD3549"/>
    <w:rsid w:val="27420539"/>
    <w:rsid w:val="27776D4F"/>
    <w:rsid w:val="284C33EF"/>
    <w:rsid w:val="286B6E9D"/>
    <w:rsid w:val="2BD129D7"/>
    <w:rsid w:val="2BFB35B9"/>
    <w:rsid w:val="2C8345D6"/>
    <w:rsid w:val="2DE61E9D"/>
    <w:rsid w:val="2E594393"/>
    <w:rsid w:val="31572BC2"/>
    <w:rsid w:val="337178B1"/>
    <w:rsid w:val="33E80446"/>
    <w:rsid w:val="347A1FE8"/>
    <w:rsid w:val="35A21894"/>
    <w:rsid w:val="35CA7C00"/>
    <w:rsid w:val="36292142"/>
    <w:rsid w:val="371221B6"/>
    <w:rsid w:val="395656FC"/>
    <w:rsid w:val="3A002C99"/>
    <w:rsid w:val="3AD84511"/>
    <w:rsid w:val="3AE37CFE"/>
    <w:rsid w:val="3B2962D5"/>
    <w:rsid w:val="3B9345B4"/>
    <w:rsid w:val="3C495586"/>
    <w:rsid w:val="3C614E95"/>
    <w:rsid w:val="3D216C63"/>
    <w:rsid w:val="3D481CA9"/>
    <w:rsid w:val="3E743F6F"/>
    <w:rsid w:val="3E7D0FBB"/>
    <w:rsid w:val="3EF115E1"/>
    <w:rsid w:val="407E79EC"/>
    <w:rsid w:val="425A3055"/>
    <w:rsid w:val="42D02360"/>
    <w:rsid w:val="42ED0B8D"/>
    <w:rsid w:val="440B2C50"/>
    <w:rsid w:val="45B12AB5"/>
    <w:rsid w:val="46440069"/>
    <w:rsid w:val="483D5E39"/>
    <w:rsid w:val="4BC32318"/>
    <w:rsid w:val="4CF47C94"/>
    <w:rsid w:val="4D966CB6"/>
    <w:rsid w:val="4EB24C41"/>
    <w:rsid w:val="5075222B"/>
    <w:rsid w:val="51603323"/>
    <w:rsid w:val="51800668"/>
    <w:rsid w:val="52082039"/>
    <w:rsid w:val="520B1012"/>
    <w:rsid w:val="52637BA3"/>
    <w:rsid w:val="53D87E59"/>
    <w:rsid w:val="56DD1623"/>
    <w:rsid w:val="584674DB"/>
    <w:rsid w:val="59632F9B"/>
    <w:rsid w:val="59772D6C"/>
    <w:rsid w:val="5B994AD0"/>
    <w:rsid w:val="5BB97A85"/>
    <w:rsid w:val="5C705EEE"/>
    <w:rsid w:val="5D580A9C"/>
    <w:rsid w:val="5F0C4CFF"/>
    <w:rsid w:val="5F78749F"/>
    <w:rsid w:val="602A22C2"/>
    <w:rsid w:val="64C4763E"/>
    <w:rsid w:val="65826A80"/>
    <w:rsid w:val="66FB5067"/>
    <w:rsid w:val="6A4209DB"/>
    <w:rsid w:val="6ABA50EB"/>
    <w:rsid w:val="6DEB0CC4"/>
    <w:rsid w:val="6E620EC2"/>
    <w:rsid w:val="70346B17"/>
    <w:rsid w:val="70FA12EC"/>
    <w:rsid w:val="7175698A"/>
    <w:rsid w:val="72964393"/>
    <w:rsid w:val="72C90F73"/>
    <w:rsid w:val="7593546D"/>
    <w:rsid w:val="75C3338A"/>
    <w:rsid w:val="76AB541C"/>
    <w:rsid w:val="77930543"/>
    <w:rsid w:val="77DA4DD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2388</Words>
  <Characters>2574</Characters>
  <Lines>0</Lines>
  <Paragraphs>0</Paragraphs>
  <TotalTime>62</TotalTime>
  <ScaleCrop>false</ScaleCrop>
  <LinksUpToDate>false</LinksUpToDate>
  <CharactersWithSpaces>2617</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2022-05-23T08:01:05Z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5F3E9D957CC14E9F938D06946CE12F19</vt:lpwstr>
  </property>
  <property fmtid="{D5CDD505-2E9C-101B-9397-08002B2CF9AE}" pid="4" name="commondata">
    <vt:lpwstr>eyJoZGlkIjoiMjQwYTNiZWI1N2FhZGJiMDc2OThhNGUzNmFjY2E4ZjUifQ==</vt:lpwstr>
  </property>
</Properties>
</file>