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山东艾科特精工机械有限公司年产5万台智能型路面机械、10万套变频式混凝土振动机械项目（一期）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2022年1月23日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山东艾科特精工机械有限公司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年产5万台智能型路面机械、10万套变频式混凝土振动机械项目（一期）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山东艾科特精工机械有限公司</w:t>
      </w:r>
      <w:r>
        <w:rPr>
          <w:rFonts w:hint="default" w:ascii="Times New Roman" w:hAnsi="Times New Roman" w:eastAsia="宋体" w:cs="Times New Roman"/>
          <w:color w:val="auto"/>
          <w:sz w:val="24"/>
          <w:szCs w:val="24"/>
        </w:rPr>
        <w:t>）、</w:t>
      </w:r>
      <w:r>
        <w:rPr>
          <w:rFonts w:hint="eastAsia" w:cs="Times New Roman"/>
          <w:color w:val="auto"/>
          <w:sz w:val="24"/>
          <w:szCs w:val="24"/>
          <w:highlight w:val="none"/>
          <w:lang w:eastAsia="zh-CN"/>
        </w:rPr>
        <w:t>检测单位（山东聊和环保科技有限公司）、验收报告编制单位（山东绿和环保咨询有限公司）</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eastAsia="zh-CN"/>
        </w:rPr>
        <w:t>山东艾科特精工机械有限公司</w:t>
      </w:r>
      <w:r>
        <w:rPr>
          <w:rFonts w:hint="default" w:ascii="Times New Roman" w:hAnsi="Times New Roman" w:eastAsia="宋体" w:cs="Times New Roman"/>
          <w:color w:val="auto"/>
          <w:sz w:val="24"/>
          <w:szCs w:val="24"/>
        </w:rPr>
        <w:t>位于</w:t>
      </w:r>
      <w:r>
        <w:rPr>
          <w:rFonts w:hint="eastAsia" w:ascii="Times New Roman" w:hAnsi="Times New Roman" w:eastAsia="宋体" w:cs="Times New Roman"/>
          <w:color w:val="auto"/>
          <w:sz w:val="24"/>
          <w:szCs w:val="24"/>
          <w:lang w:eastAsia="zh-CN"/>
        </w:rPr>
        <w:t>山东省聊城市阳谷县祥光经济开发区</w:t>
      </w: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eastAsia="zh-CN"/>
        </w:rPr>
        <w:t>预计</w:t>
      </w:r>
      <w:r>
        <w:rPr>
          <w:rFonts w:hint="default" w:ascii="Times New Roman" w:hAnsi="Times New Roman" w:eastAsia="宋体" w:cs="Times New Roman"/>
          <w:color w:val="auto"/>
          <w:sz w:val="24"/>
          <w:szCs w:val="24"/>
        </w:rPr>
        <w:t>总投资</w:t>
      </w:r>
      <w:r>
        <w:rPr>
          <w:rFonts w:hint="eastAsia" w:ascii="Times New Roman" w:hAnsi="Times New Roman" w:eastAsia="宋体" w:cs="Times New Roman"/>
          <w:color w:val="auto"/>
          <w:sz w:val="24"/>
          <w:szCs w:val="24"/>
          <w:lang w:val="en-US" w:eastAsia="zh-CN"/>
        </w:rPr>
        <w:t>11000</w:t>
      </w:r>
      <w:r>
        <w:rPr>
          <w:rFonts w:hint="default" w:ascii="Times New Roman" w:hAnsi="Times New Roman" w:eastAsia="宋体" w:cs="Times New Roman"/>
          <w:color w:val="auto"/>
          <w:sz w:val="24"/>
          <w:szCs w:val="24"/>
          <w:lang w:eastAsia="zh-CN"/>
        </w:rPr>
        <w:t>万元</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占地面积</w:t>
      </w:r>
      <w:r>
        <w:rPr>
          <w:rFonts w:hint="eastAsia" w:ascii="Times New Roman" w:hAnsi="Times New Roman" w:eastAsia="宋体" w:cs="Times New Roman"/>
          <w:color w:val="auto"/>
          <w:sz w:val="24"/>
          <w:szCs w:val="24"/>
          <w:lang w:val="en-US" w:eastAsia="zh-CN"/>
        </w:rPr>
        <w:t>2184</w:t>
      </w:r>
      <w:r>
        <w:rPr>
          <w:rFonts w:hint="default" w:ascii="Times New Roman" w:hAnsi="Times New Roman" w:eastAsia="宋体" w:cs="Times New Roman"/>
          <w:color w:val="auto"/>
          <w:sz w:val="24"/>
          <w:szCs w:val="24"/>
          <w:lang w:eastAsia="zh-CN"/>
        </w:rPr>
        <w:t>0m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lang w:eastAsia="zh-CN"/>
        </w:rPr>
        <w:t>，</w:t>
      </w:r>
      <w:r>
        <w:rPr>
          <w:rFonts w:hint="eastAsia"/>
          <w:sz w:val="24"/>
          <w:szCs w:val="24"/>
        </w:rPr>
        <w:t>新建</w:t>
      </w:r>
      <w:r>
        <w:rPr>
          <w:rFonts w:hint="eastAsia"/>
          <w:sz w:val="24"/>
          <w:szCs w:val="24"/>
          <w:lang w:eastAsia="zh-CN"/>
        </w:rPr>
        <w:t>厂房</w:t>
      </w:r>
      <w:r>
        <w:rPr>
          <w:rFonts w:hint="default" w:ascii="Times New Roman" w:hAnsi="Times New Roman" w:eastAsia="宋体" w:cs="Times New Roman"/>
          <w:color w:val="auto"/>
          <w:sz w:val="24"/>
          <w:szCs w:val="24"/>
          <w:lang w:eastAsia="zh-CN"/>
        </w:rPr>
        <w:t>建设</w:t>
      </w:r>
      <w:r>
        <w:rPr>
          <w:rFonts w:hint="eastAsia" w:ascii="Times New Roman" w:hAnsi="Times New Roman" w:eastAsia="宋体" w:cs="Times New Roman"/>
          <w:color w:val="auto"/>
          <w:sz w:val="24"/>
          <w:szCs w:val="24"/>
          <w:lang w:eastAsia="zh-CN"/>
        </w:rPr>
        <w:t>年产5万台智能型路面机械、10万套变频式混凝土振动机械项目</w:t>
      </w:r>
      <w:r>
        <w:rPr>
          <w:rFonts w:hint="default" w:ascii="Times New Roman" w:hAnsi="Times New Roman" w:eastAsia="宋体" w:cs="Times New Roman"/>
          <w:color w:val="auto"/>
          <w:sz w:val="24"/>
          <w:szCs w:val="24"/>
          <w:lang w:eastAsia="zh-CN"/>
        </w:rPr>
        <w:t>。由于企业资金问题，项目实际投资</w:t>
      </w:r>
      <w:r>
        <w:rPr>
          <w:rFonts w:hint="eastAsia" w:ascii="Times New Roman" w:hAnsi="Times New Roman" w:eastAsia="宋体" w:cs="Times New Roman"/>
          <w:color w:val="auto"/>
          <w:sz w:val="24"/>
          <w:szCs w:val="24"/>
          <w:lang w:val="en-US" w:eastAsia="zh-CN"/>
        </w:rPr>
        <w:t>10000</w:t>
      </w:r>
      <w:r>
        <w:rPr>
          <w:rFonts w:hint="default" w:ascii="Times New Roman" w:hAnsi="Times New Roman" w:eastAsia="宋体" w:cs="Times New Roman"/>
          <w:color w:val="auto"/>
          <w:sz w:val="24"/>
          <w:szCs w:val="24"/>
          <w:lang w:val="en-US" w:eastAsia="zh-CN"/>
        </w:rPr>
        <w:t>万元，</w:t>
      </w:r>
      <w:r>
        <w:rPr>
          <w:rFonts w:hint="eastAsia" w:ascii="Times New Roman" w:hAnsi="Times New Roman" w:eastAsia="宋体" w:cs="Times New Roman"/>
          <w:color w:val="auto"/>
          <w:sz w:val="24"/>
          <w:szCs w:val="24"/>
          <w:lang w:val="en-US" w:eastAsia="zh-CN"/>
        </w:rPr>
        <w:t>新建厂房占地6500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未购置金属圆锯机、自动液压弯管机、激光切割机等设备，环评设计购置无缝钢管、圆钢等原材料，实际替换为直接购置所需半成品，</w:t>
      </w:r>
      <w:r>
        <w:rPr>
          <w:rFonts w:hint="default" w:ascii="Times New Roman" w:hAnsi="Times New Roman" w:eastAsia="宋体" w:cs="Times New Roman"/>
          <w:color w:val="auto"/>
          <w:sz w:val="24"/>
          <w:szCs w:val="24"/>
          <w:lang w:eastAsia="zh-CN"/>
        </w:rPr>
        <w:t>生产规模为</w:t>
      </w:r>
      <w:r>
        <w:rPr>
          <w:rFonts w:hint="eastAsia" w:ascii="Times New Roman" w:hAnsi="Times New Roman" w:eastAsia="宋体" w:cs="Times New Roman"/>
          <w:color w:val="auto"/>
          <w:sz w:val="24"/>
          <w:szCs w:val="24"/>
          <w:lang w:eastAsia="zh-CN"/>
        </w:rPr>
        <w:t>年产5万台智能型路面机械、10万套变频式混凝土振动机械</w:t>
      </w:r>
      <w:r>
        <w:rPr>
          <w:rFonts w:hint="default" w:ascii="Times New Roman" w:hAnsi="Times New Roman" w:eastAsia="宋体" w:cs="Times New Roman"/>
          <w:color w:val="auto"/>
          <w:sz w:val="24"/>
          <w:szCs w:val="24"/>
          <w:lang w:eastAsia="zh-CN"/>
        </w:rPr>
        <w:t>，项目分期验收，本次验收为一期。</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项目。2020年8月山东艾科特精工机械有限公司委托聊城市润森环保有限公司编制了《山东艾科特精工机械有限公司年产5万台智能型路面机械、10万套变频式混凝土振动机械项目环境影响报告表》，2020年12月24日阳谷县行政审批服务局以阳行审环字〔2020〕131号对其进行了审批。2021年12月公司委托山东绿和环保咨询有限公司进行本项目（一期）的环保验收工作，山东绿和环保咨询有限公司组织有关技术人员进行现场踏勘，依据监测技术规范制定了环保验收（一期）监测方案，并委托山东聊和环保科技有限公司于2022年01月12日-13日对该企业进行了验收一期</w:t>
      </w:r>
      <w:r>
        <w:rPr>
          <w:rFonts w:hint="eastAsia" w:cs="Times New Roman"/>
          <w:color w:val="auto"/>
          <w:kern w:val="2"/>
          <w:sz w:val="24"/>
          <w:szCs w:val="24"/>
          <w:lang w:val="en-US" w:eastAsia="zh-CN" w:bidi="ar-SA"/>
        </w:rPr>
        <w:t>检测</w:t>
      </w:r>
      <w:bookmarkStart w:id="0" w:name="_GoBack"/>
      <w:bookmarkEnd w:id="0"/>
      <w:r>
        <w:rPr>
          <w:rFonts w:hint="default" w:ascii="Times New Roman" w:hAnsi="Times New Roman" w:eastAsia="宋体" w:cs="Times New Roman"/>
          <w:color w:val="auto"/>
          <w:kern w:val="2"/>
          <w:sz w:val="24"/>
          <w:szCs w:val="24"/>
          <w:lang w:val="en-US" w:eastAsia="zh-CN" w:bidi="ar-SA"/>
        </w:rPr>
        <w:t>，根据验收监测结果和现场检查情况，山东绿和环保咨询有限公司编制了本项目（一期）验收监测报告。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10000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50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0.5</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的范围为</w:t>
      </w:r>
      <w:r>
        <w:rPr>
          <w:rFonts w:hint="eastAsia" w:cs="Times New Roman"/>
          <w:color w:val="auto"/>
          <w:sz w:val="24"/>
          <w:szCs w:val="24"/>
          <w:lang w:val="en-US" w:eastAsia="zh-CN"/>
        </w:rPr>
        <w:t>年产5万台智能型路面机械、10万套变频式混凝土振动机械</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①由于企业资金问题，项目实际投资10000万元，新建厂房占地6500m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未购置金属圆锯机、自动液压弯管机、激光切割机等设备，环评设计购置无缝钢管、圆钢等原材料，实际替换为直接购置所需半成品，生产规模为年产5万台智能型路面机械、10万套变频式混凝土振动机械，项目分期验收，本次验收为一期。</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②项目一期未购置激光切割机，故无切割废气产生；焊接废气、抛丸废气、喷塑废气均为颗粒物，企业将其引入一根17m高排气筒（P1）进行有组织排放，环评设计为焊接、抛丸、喷塑工序分别通过三根排气筒排放。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根据《关于印发污染影响类建设项目重大变动清单（试行）的通知》环办环评函〔2020〕688号，本项目以上变动不涉及重大变动。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本项目生产用水为循环水补充用水，全部损耗，不外排。生活废水经市政管网排入阳谷祥光经济开发区污水处理厂处理。</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本项目废气主要是焊接废气、抛丸废气、喷塑废气、固化废气、浸漆烘干废气。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（1）有组织废气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①焊接废气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项目焊接工序产生的焊接烟尘由集气罩收集后引至布袋除尘器处理，通过1根17m高排气筒（P1）排放。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②抛丸废气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项目抛丸工序产生的颗粒物经袋式除尘器处理后，通过1根17m高排气筒（P1）排放。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③喷塑废气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本项目设有1条喷塑线，喷塑过程有粉尘产生，喷塑粉尘经风机引入“旋风除尘器+滤芯过滤器”处理后经17m的排气筒（P1）排放。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④浸漆烘干废气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浸漆烘干在封闭空间内进行，此过程产生挥发性有机废气，经密闭收集管道引入“光氧催化+活性炭吸附设备”处理后，通过1跟17m排气筒（P2）排放。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⑤固化废气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喷塑后的部件需要在固化炉进行固化处理，此过程产生挥发性有机废气，固化通道进出口上部设置集气罩，有机废气收集后经“光氧催化+活性炭吸附设备”处理，通过1跟17m排气筒（P2）排放。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（2）无组织废气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焊接工序、喷塑及固化工序未被收集的废气，经车间通风后无组织排放。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本项目主要噪声源设备为车床、铣床、磨床等设备运行时产生的噪声。通过基础减振、距离衰减等综合控制等措施，降低对外环境的影响。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产生的下脚料、不合格品、除尘器收集粉尘、废钢丸、废包装物、焊渣外售综合利用；废切削液、废润滑油、废油桶、废灯管、废活性炭属于危险废物，产生后暂存于危废暂存间，并委托有资质单位进行处置；焊接布袋除尘器收集的粉尘与生活垃圾由环卫部门定期清运；回收的塑粉回用于喷涂工序。</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山东艾科特精工机械有限公司年产5万台智能型路面机械、10万套变频式混凝土振动机械项目（一期）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废水pH为7.0-7.3，化学需氧量、五日生化需氧量、氨氮、悬浮物最高排放浓度分别为60mg/L、15.6mg/L、0.337mg/L、11mg/L，均满足《污水排入城镇下水道水质标准》（GB/T31962-2015）表1中B等级标准限值及阳谷祥光经济开发区污水处理厂进水水质的要求。</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rPr>
        <w:t>验</w:t>
      </w:r>
      <w:r>
        <w:rPr>
          <w:rFonts w:hint="default" w:ascii="Times New Roman" w:hAnsi="Times New Roman" w:eastAsia="宋体" w:cs="Times New Roman"/>
          <w:bCs/>
          <w:color w:val="auto"/>
          <w:sz w:val="24"/>
          <w:szCs w:val="24"/>
        </w:rPr>
        <w:t>收监测期间，</w:t>
      </w:r>
      <w:r>
        <w:rPr>
          <w:rFonts w:hint="default" w:ascii="Times New Roman" w:hAnsi="Times New Roman" w:cs="Times New Roman"/>
          <w:bCs/>
          <w:color w:val="auto"/>
          <w:sz w:val="24"/>
          <w:szCs w:val="24"/>
          <w:lang w:eastAsia="zh-CN"/>
        </w:rPr>
        <w:t>有组织苯最高排放浓度为0.</w:t>
      </w:r>
      <w:r>
        <w:rPr>
          <w:rFonts w:hint="eastAsia" w:ascii="Times New Roman" w:hAnsi="Times New Roman" w:cs="Times New Roman"/>
          <w:bCs/>
          <w:color w:val="auto"/>
          <w:sz w:val="24"/>
          <w:szCs w:val="24"/>
          <w:lang w:val="en-US" w:eastAsia="zh-CN"/>
        </w:rPr>
        <w:t>190</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7.83</w:t>
      </w:r>
      <w:r>
        <w:rPr>
          <w:rFonts w:hint="default" w:ascii="Times New Roman" w:hAnsi="Times New Roman" w:cs="Times New Roman"/>
          <w:bCs/>
          <w:color w:val="auto"/>
          <w:sz w:val="24"/>
          <w:szCs w:val="24"/>
          <w:lang w:eastAsia="zh-CN"/>
        </w:rPr>
        <w:t>×10</w:t>
      </w:r>
      <w:r>
        <w:rPr>
          <w:rFonts w:hint="default" w:ascii="Times New Roman" w:hAnsi="Times New Roman" w:cs="Times New Roman"/>
          <w:bCs/>
          <w:color w:val="auto"/>
          <w:sz w:val="24"/>
          <w:szCs w:val="24"/>
          <w:vertAlign w:val="superscript"/>
          <w:lang w:eastAsia="zh-CN"/>
        </w:rPr>
        <w:t>-</w:t>
      </w:r>
      <w:r>
        <w:rPr>
          <w:rFonts w:hint="eastAsia" w:ascii="Times New Roman" w:hAnsi="Times New Roman" w:cs="Times New Roman"/>
          <w:bCs/>
          <w:color w:val="auto"/>
          <w:sz w:val="24"/>
          <w:szCs w:val="24"/>
          <w:vertAlign w:val="superscript"/>
          <w:lang w:val="en-US" w:eastAsia="zh-CN"/>
        </w:rPr>
        <w:t>4</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w:t>
      </w:r>
      <w:r>
        <w:rPr>
          <w:rFonts w:hint="default" w:ascii="Times New Roman" w:hAnsi="Times New Roman" w:cs="Times New Roman"/>
          <w:bCs/>
          <w:color w:val="auto"/>
          <w:sz w:val="24"/>
          <w:szCs w:val="24"/>
          <w:lang w:eastAsia="zh-CN"/>
        </w:rPr>
        <w:t>甲苯最高排放浓度为0.</w:t>
      </w:r>
      <w:r>
        <w:rPr>
          <w:rFonts w:hint="eastAsia" w:ascii="Times New Roman" w:hAnsi="Times New Roman" w:cs="Times New Roman"/>
          <w:bCs/>
          <w:color w:val="auto"/>
          <w:sz w:val="24"/>
          <w:szCs w:val="24"/>
          <w:lang w:val="en-US" w:eastAsia="zh-CN"/>
        </w:rPr>
        <w:t>247</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1.02</w:t>
      </w:r>
      <w:r>
        <w:rPr>
          <w:rFonts w:hint="default" w:ascii="Times New Roman" w:hAnsi="Times New Roman" w:cs="Times New Roman"/>
          <w:bCs/>
          <w:color w:val="auto"/>
          <w:sz w:val="24"/>
          <w:szCs w:val="24"/>
          <w:lang w:eastAsia="zh-CN"/>
        </w:rPr>
        <w:t>×10</w:t>
      </w:r>
      <w:r>
        <w:rPr>
          <w:rFonts w:hint="default" w:ascii="Times New Roman" w:hAnsi="Times New Roman" w:cs="Times New Roman"/>
          <w:bCs/>
          <w:color w:val="auto"/>
          <w:sz w:val="24"/>
          <w:szCs w:val="24"/>
          <w:vertAlign w:val="superscript"/>
          <w:lang w:eastAsia="zh-CN"/>
        </w:rPr>
        <w:t>-</w:t>
      </w:r>
      <w:r>
        <w:rPr>
          <w:rFonts w:hint="eastAsia" w:ascii="Times New Roman" w:hAnsi="Times New Roman"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rPr>
        <w:t>kg/h</w:t>
      </w:r>
      <w:r>
        <w:rPr>
          <w:rFonts w:hint="eastAsia" w:ascii="Times New Roman" w:hAnsi="Times New Roman" w:eastAsia="宋体" w:cs="Times New Roman"/>
          <w:bCs/>
          <w:color w:val="auto"/>
          <w:sz w:val="24"/>
          <w:szCs w:val="24"/>
          <w:lang w:eastAsia="zh-CN"/>
        </w:rPr>
        <w:t>；</w:t>
      </w:r>
      <w:r>
        <w:rPr>
          <w:rFonts w:hint="default" w:ascii="Times New Roman" w:hAnsi="Times New Roman" w:cs="Times New Roman"/>
          <w:bCs/>
          <w:color w:val="auto"/>
          <w:sz w:val="24"/>
          <w:szCs w:val="24"/>
          <w:lang w:eastAsia="zh-CN"/>
        </w:rPr>
        <w:t>二甲苯最高排放浓度为0.</w:t>
      </w:r>
      <w:r>
        <w:rPr>
          <w:rFonts w:hint="eastAsia" w:ascii="Times New Roman" w:hAnsi="Times New Roman" w:cs="Times New Roman"/>
          <w:bCs/>
          <w:color w:val="auto"/>
          <w:sz w:val="24"/>
          <w:szCs w:val="24"/>
          <w:lang w:val="en-US" w:eastAsia="zh-CN"/>
        </w:rPr>
        <w:t>361</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1.49</w:t>
      </w:r>
      <w:r>
        <w:rPr>
          <w:rFonts w:hint="default" w:ascii="Times New Roman" w:hAnsi="Times New Roman" w:cs="Times New Roman"/>
          <w:bCs/>
          <w:color w:val="auto"/>
          <w:sz w:val="24"/>
          <w:szCs w:val="24"/>
          <w:lang w:eastAsia="zh-CN"/>
        </w:rPr>
        <w:t>×10</w:t>
      </w:r>
      <w:r>
        <w:rPr>
          <w:rFonts w:hint="default" w:ascii="Times New Roman" w:hAnsi="Times New Roman" w:cs="Times New Roman"/>
          <w:bCs/>
          <w:color w:val="auto"/>
          <w:sz w:val="24"/>
          <w:szCs w:val="24"/>
          <w:vertAlign w:val="superscript"/>
          <w:lang w:eastAsia="zh-CN"/>
        </w:rPr>
        <w:t>-</w:t>
      </w:r>
      <w:r>
        <w:rPr>
          <w:rFonts w:hint="eastAsia" w:ascii="Times New Roman" w:hAnsi="Times New Roman"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w:t>
      </w:r>
      <w:r>
        <w:rPr>
          <w:rFonts w:hint="default" w:ascii="Times New Roman" w:hAnsi="Times New Roman" w:cs="Times New Roman"/>
          <w:bCs/>
          <w:color w:val="auto"/>
          <w:sz w:val="24"/>
          <w:szCs w:val="24"/>
          <w:lang w:val="en-US" w:eastAsia="zh-CN"/>
        </w:rPr>
        <w:t>VOCs最高排放浓度为0.5</w:t>
      </w:r>
      <w:r>
        <w:rPr>
          <w:rFonts w:hint="eastAsia" w:ascii="Times New Roman" w:hAnsi="Times New Roman" w:cs="Times New Roman"/>
          <w:bCs/>
          <w:color w:val="auto"/>
          <w:sz w:val="24"/>
          <w:szCs w:val="24"/>
          <w:lang w:val="en-US" w:eastAsia="zh-CN"/>
        </w:rPr>
        <w:t>8</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2.4</w:t>
      </w:r>
      <w:r>
        <w:rPr>
          <w:rFonts w:hint="default" w:ascii="Times New Roman" w:hAnsi="Times New Roman" w:cs="Times New Roman"/>
          <w:bCs/>
          <w:color w:val="auto"/>
          <w:sz w:val="24"/>
          <w:szCs w:val="24"/>
          <w:lang w:eastAsia="zh-CN"/>
        </w:rPr>
        <w:t>×10</w:t>
      </w:r>
      <w:r>
        <w:rPr>
          <w:rFonts w:hint="default" w:ascii="Times New Roman" w:hAnsi="Times New Roman" w:cs="Times New Roman"/>
          <w:bCs/>
          <w:color w:val="auto"/>
          <w:sz w:val="24"/>
          <w:szCs w:val="24"/>
          <w:vertAlign w:val="superscript"/>
          <w:lang w:eastAsia="zh-CN"/>
        </w:rPr>
        <w:t>-</w:t>
      </w:r>
      <w:r>
        <w:rPr>
          <w:rFonts w:hint="default" w:ascii="Times New Roman" w:hAnsi="Times New Roman"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，均满足</w:t>
      </w:r>
      <w:r>
        <w:rPr>
          <w:rFonts w:hint="default" w:ascii="Times New Roman" w:hAnsi="Times New Roman" w:cs="Times New Roman"/>
          <w:color w:val="auto"/>
          <w:sz w:val="24"/>
          <w:szCs w:val="24"/>
          <w:lang w:eastAsia="zh-CN"/>
        </w:rPr>
        <w:t>《挥发性有机物排放标准 第5部分：表面涂装行业》表2</w:t>
      </w:r>
      <w:r>
        <w:rPr>
          <w:rFonts w:hint="default" w:ascii="Times New Roman" w:hAnsi="Times New Roman" w:eastAsia="宋体" w:cs="Times New Roman"/>
          <w:color w:val="auto"/>
          <w:sz w:val="24"/>
          <w:szCs w:val="24"/>
          <w:lang w:eastAsia="zh-CN"/>
        </w:rPr>
        <w:t>标准要求。</w:t>
      </w:r>
      <w:r>
        <w:rPr>
          <w:rFonts w:hint="default" w:ascii="Times New Roman" w:hAnsi="Times New Roman" w:cs="Times New Roman"/>
          <w:color w:val="auto"/>
          <w:sz w:val="24"/>
          <w:szCs w:val="24"/>
          <w:lang w:eastAsia="zh-CN"/>
        </w:rPr>
        <w:t>有组织颗粒物</w:t>
      </w:r>
      <w:r>
        <w:rPr>
          <w:rFonts w:hint="default" w:ascii="Times New Roman" w:hAnsi="Times New Roman" w:cs="Times New Roman"/>
          <w:bCs/>
          <w:color w:val="auto"/>
          <w:sz w:val="24"/>
          <w:szCs w:val="24"/>
          <w:lang w:val="en-US" w:eastAsia="zh-CN"/>
        </w:rPr>
        <w:t>最高排放浓度为</w:t>
      </w:r>
      <w:r>
        <w:rPr>
          <w:rFonts w:hint="eastAsia" w:ascii="Times New Roman" w:hAnsi="Times New Roman" w:cs="Times New Roman"/>
          <w:bCs/>
          <w:color w:val="auto"/>
          <w:sz w:val="24"/>
          <w:szCs w:val="24"/>
          <w:lang w:val="en-US" w:eastAsia="zh-CN"/>
        </w:rPr>
        <w:t>16.7</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default" w:ascii="Times New Roman" w:hAnsi="Times New Roman" w:cs="Times New Roman"/>
          <w:bCs/>
          <w:color w:val="auto"/>
          <w:sz w:val="24"/>
          <w:szCs w:val="24"/>
          <w:lang w:val="en-US" w:eastAsia="zh-CN"/>
        </w:rPr>
        <w:t>0.1</w:t>
      </w:r>
      <w:r>
        <w:rPr>
          <w:rFonts w:hint="eastAsia" w:ascii="Times New Roman" w:hAnsi="Times New Roman" w:cs="Times New Roman"/>
          <w:bCs/>
          <w:color w:val="auto"/>
          <w:sz w:val="24"/>
          <w:szCs w:val="24"/>
          <w:lang w:val="en-US" w:eastAsia="zh-CN"/>
        </w:rPr>
        <w:t>53</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，满足《区域性大气污染物综合排放标准》（DB37/2376-2019）中表1中“一般控制区”标准以及《大气污染物综合排放标准》（GB16297-1996）表2二级标准</w:t>
      </w:r>
      <w:r>
        <w:rPr>
          <w:rFonts w:hint="eastAsia" w:ascii="Times New Roman" w:hAnsi="Times New Roman" w:eastAsia="宋体" w:cs="Times New Roman"/>
          <w:bCs/>
          <w:color w:val="auto"/>
          <w:sz w:val="24"/>
          <w:szCs w:val="24"/>
          <w:lang w:eastAsia="zh-CN"/>
        </w:rPr>
        <w:t>。</w:t>
      </w:r>
      <w:r>
        <w:rPr>
          <w:rFonts w:hint="eastAsia" w:ascii="Times New Roman" w:hAnsi="Times New Roman" w:eastAsia="宋体" w:cs="Times New Roman"/>
          <w:sz w:val="24"/>
          <w:szCs w:val="24"/>
          <w:lang w:eastAsia="zh-CN"/>
        </w:rPr>
        <w:t>无组织颗粒物小时浓度最高为0.397</w:t>
      </w:r>
      <w:r>
        <w:rPr>
          <w:rFonts w:hint="default" w:ascii="Times New Roman" w:hAnsi="Times New Roman" w:cs="Times New Roman"/>
          <w:sz w:val="24"/>
          <w:szCs w:val="24"/>
          <w:lang w:val="en-US" w:eastAsia="zh-CN"/>
        </w:rPr>
        <w:t>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vertAlign w:val="baseline"/>
          <w:lang w:val="en-US" w:eastAsia="zh-CN"/>
        </w:rPr>
        <w:t>，满足《大气污染物综合排放标准》表2中无组织监控浓度限值</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sz w:val="24"/>
          <w:szCs w:val="24"/>
          <w:lang w:eastAsia="zh-CN"/>
        </w:rPr>
        <w:t>厂界下风向</w:t>
      </w:r>
      <w:r>
        <w:rPr>
          <w:rFonts w:hint="default" w:ascii="Times New Roman" w:hAnsi="Times New Roman" w:cs="Times New Roman"/>
          <w:sz w:val="24"/>
          <w:szCs w:val="24"/>
          <w:lang w:eastAsia="zh-CN"/>
        </w:rPr>
        <w:t>无组织苯、甲苯、二甲苯均未检出</w:t>
      </w:r>
      <w:r>
        <w:rPr>
          <w:rFonts w:hint="default" w:ascii="Times New Roman" w:hAnsi="Times New Roman" w:eastAsia="宋体" w:cs="Times New Roman"/>
          <w:bCs/>
          <w:color w:val="000000"/>
          <w:sz w:val="24"/>
          <w:szCs w:val="24"/>
        </w:rPr>
        <w:t>，</w:t>
      </w:r>
      <w:r>
        <w:rPr>
          <w:rFonts w:hint="default" w:ascii="Times New Roman" w:hAnsi="Times New Roman" w:cs="Times New Roman"/>
          <w:bCs/>
          <w:color w:val="000000"/>
          <w:sz w:val="24"/>
          <w:szCs w:val="24"/>
          <w:lang w:eastAsia="zh-CN"/>
        </w:rPr>
        <w:t>VOCs</w:t>
      </w:r>
      <w:r>
        <w:rPr>
          <w:rFonts w:hint="default" w:ascii="Times New Roman" w:hAnsi="Times New Roman" w:cs="Times New Roman"/>
          <w:sz w:val="24"/>
          <w:szCs w:val="24"/>
          <w:lang w:eastAsia="zh-CN"/>
        </w:rPr>
        <w:t>小时浓度最高为</w:t>
      </w:r>
      <w:r>
        <w:rPr>
          <w:rFonts w:hint="default" w:ascii="Times New Roman" w:hAnsi="Times New Roman" w:cs="Times New Roman"/>
          <w:sz w:val="24"/>
          <w:szCs w:val="24"/>
          <w:lang w:val="en-US" w:eastAsia="zh-CN"/>
        </w:rPr>
        <w:t>0.29m</w:t>
      </w:r>
      <w:r>
        <w:rPr>
          <w:rFonts w:hint="default" w:ascii="Times New Roman" w:hAnsi="Times New Roman" w:eastAsia="宋体" w:cs="Times New Roman"/>
          <w:bCs/>
          <w:color w:val="000000"/>
          <w:sz w:val="24"/>
          <w:szCs w:val="24"/>
        </w:rPr>
        <w:t>g/m</w:t>
      </w:r>
      <w:r>
        <w:rPr>
          <w:rFonts w:hint="default" w:ascii="Times New Roman" w:hAnsi="Times New Roman" w:eastAsia="宋体" w:cs="Times New Roman"/>
          <w:bCs/>
          <w:color w:val="000000"/>
          <w:sz w:val="24"/>
          <w:szCs w:val="24"/>
          <w:vertAlign w:val="superscript"/>
        </w:rPr>
        <w:t>3</w:t>
      </w:r>
      <w:r>
        <w:rPr>
          <w:rFonts w:hint="default" w:ascii="Times New Roman" w:hAnsi="Times New Roman" w:eastAsia="宋体" w:cs="Times New Roman"/>
          <w:bCs/>
          <w:color w:val="000000"/>
          <w:sz w:val="24"/>
          <w:szCs w:val="24"/>
        </w:rPr>
        <w:t>，</w:t>
      </w:r>
      <w:r>
        <w:rPr>
          <w:rFonts w:hint="default" w:ascii="Times New Roman" w:hAnsi="Times New Roman" w:cs="Times New Roman"/>
          <w:bCs/>
          <w:color w:val="000000"/>
          <w:sz w:val="24"/>
          <w:szCs w:val="24"/>
          <w:lang w:eastAsia="zh-CN"/>
        </w:rPr>
        <w:t>均</w:t>
      </w:r>
      <w:r>
        <w:rPr>
          <w:rFonts w:hint="default" w:ascii="Times New Roman" w:hAnsi="Times New Roman" w:eastAsia="宋体" w:cs="Times New Roman"/>
          <w:sz w:val="24"/>
          <w:szCs w:val="24"/>
          <w:lang w:eastAsia="zh-CN"/>
        </w:rPr>
        <w:t>满足</w:t>
      </w:r>
      <w:r>
        <w:rPr>
          <w:rFonts w:hint="default" w:ascii="Times New Roman" w:hAnsi="Times New Roman" w:cs="Times New Roman"/>
          <w:sz w:val="24"/>
          <w:szCs w:val="24"/>
          <w:lang w:eastAsia="zh-CN"/>
        </w:rPr>
        <w:t>《挥发性有机物排放标准 第5部分：表面涂装行业》表3</w:t>
      </w:r>
      <w:r>
        <w:rPr>
          <w:rFonts w:hint="default" w:ascii="Times New Roman" w:hAnsi="Times New Roman" w:eastAsia="宋体" w:cs="Times New Roman"/>
          <w:sz w:val="24"/>
          <w:szCs w:val="24"/>
          <w:lang w:eastAsia="zh-CN"/>
        </w:rPr>
        <w:t>标准要求</w:t>
      </w:r>
      <w:r>
        <w:rPr>
          <w:rFonts w:hint="eastAsia" w:ascii="Times New Roman" w:hAnsi="Times New Roman" w:cs="Times New Roman"/>
          <w:sz w:val="24"/>
          <w:szCs w:val="24"/>
          <w:lang w:eastAsia="zh-CN"/>
        </w:rPr>
        <w:t>，车间东侧门窗</w:t>
      </w:r>
      <w:r>
        <w:rPr>
          <w:rFonts w:hint="default" w:ascii="Times New Roman" w:hAnsi="Times New Roman" w:cs="Times New Roman"/>
          <w:sz w:val="24"/>
          <w:szCs w:val="24"/>
          <w:lang w:eastAsia="zh-CN"/>
        </w:rPr>
        <w:t>组织</w:t>
      </w:r>
      <w:r>
        <w:rPr>
          <w:rFonts w:hint="default" w:ascii="Times New Roman" w:hAnsi="Times New Roman" w:eastAsia="宋体" w:cs="Times New Roman"/>
          <w:bCs/>
          <w:color w:val="000000"/>
          <w:sz w:val="24"/>
          <w:szCs w:val="24"/>
        </w:rPr>
        <w:t>VOCs</w:t>
      </w:r>
      <w:r>
        <w:rPr>
          <w:rFonts w:hint="eastAsia" w:ascii="Times New Roman" w:hAnsi="Times New Roman" w:cs="Times New Roman"/>
          <w:sz w:val="24"/>
          <w:szCs w:val="24"/>
          <w:lang w:eastAsia="zh-CN"/>
        </w:rPr>
        <w:t>小时浓度最高为0.2</w:t>
      </w:r>
      <w:r>
        <w:rPr>
          <w:rFonts w:hint="eastAsia" w:ascii="Times New Roman" w:hAnsi="Times New Roman" w:cs="Times New Roman"/>
          <w:sz w:val="24"/>
          <w:szCs w:val="24"/>
          <w:lang w:val="en-US" w:eastAsia="zh-CN"/>
        </w:rPr>
        <w:t>5</w:t>
      </w:r>
      <w:r>
        <w:rPr>
          <w:rFonts w:hint="eastAsia" w:ascii="Times New Roman" w:hAnsi="Times New Roman" w:cs="Times New Roman"/>
          <w:sz w:val="24"/>
          <w:szCs w:val="24"/>
          <w:lang w:eastAsia="zh-CN"/>
        </w:rPr>
        <w:t>m</w:t>
      </w:r>
      <w:r>
        <w:rPr>
          <w:rFonts w:hint="default" w:ascii="Times New Roman" w:hAnsi="Times New Roman" w:eastAsia="宋体" w:cs="Times New Roman"/>
          <w:bCs/>
          <w:color w:val="000000"/>
          <w:sz w:val="24"/>
          <w:szCs w:val="24"/>
        </w:rPr>
        <w:t>g/m</w:t>
      </w:r>
      <w:r>
        <w:rPr>
          <w:rFonts w:hint="default" w:ascii="Times New Roman" w:hAnsi="Times New Roman" w:eastAsia="宋体" w:cs="Times New Roman"/>
          <w:bCs/>
          <w:color w:val="000000"/>
          <w:sz w:val="24"/>
          <w:szCs w:val="24"/>
          <w:vertAlign w:val="superscript"/>
        </w:rPr>
        <w:t>3</w:t>
      </w:r>
      <w:r>
        <w:rPr>
          <w:rFonts w:hint="default" w:ascii="Times New Roman" w:hAnsi="Times New Roman" w:eastAsia="宋体" w:cs="Times New Roman"/>
          <w:bCs/>
          <w:color w:val="000000"/>
          <w:sz w:val="24"/>
          <w:szCs w:val="24"/>
        </w:rPr>
        <w:t>，</w:t>
      </w:r>
      <w:r>
        <w:rPr>
          <w:rFonts w:hint="eastAsia" w:ascii="Times New Roman" w:hAnsi="Times New Roman" w:eastAsia="宋体" w:cs="Times New Roman"/>
          <w:bCs/>
          <w:color w:val="000000"/>
          <w:sz w:val="24"/>
          <w:szCs w:val="24"/>
          <w:lang w:eastAsia="zh-CN"/>
        </w:rPr>
        <w:t>满足</w:t>
      </w:r>
      <w:r>
        <w:rPr>
          <w:rFonts w:hint="default" w:ascii="Times New Roman" w:hAnsi="Times New Roman" w:eastAsia="宋体" w:cs="Times New Roman"/>
          <w:sz w:val="24"/>
          <w:szCs w:val="24"/>
        </w:rPr>
        <w:t>《挥发性有机物无组织排放控制标准》（GB37822-2019）表A.1厂区内VOCs无组织排放监控要求</w:t>
      </w:r>
      <w:r>
        <w:rPr>
          <w:rFonts w:hint="default"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验收监测期间，监测点位昼间噪声在47.2-62.1(dB)之间，夜间不生产，符合《工业企业厂界环境噪声排放标准》（GB12348－2008）中的3类标准限值。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山东艾科特精工机械有限公司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山东艾科特精工机械有限公司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eastAsia" w:cs="Times New Roman"/>
          <w:color w:val="auto"/>
          <w:sz w:val="24"/>
          <w:szCs w:val="24"/>
          <w:lang w:eastAsia="zh-CN"/>
        </w:rPr>
      </w:pP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1.焊接区域、喷塑间进一步密闭，喷塑工序进、出口以及固化口加设垂帘，提高废气收集效率；</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2.按照规范悬挂废气排气筒标识牌；</w:t>
      </w:r>
    </w:p>
    <w:p>
      <w:pPr>
        <w:spacing w:line="360" w:lineRule="auto"/>
        <w:ind w:left="233" w:leftChars="111" w:firstLine="518" w:firstLineChars="216"/>
        <w:rPr>
          <w:rFonts w:hint="default" w:cs="Times New Roman"/>
          <w:color w:val="auto"/>
          <w:sz w:val="24"/>
          <w:szCs w:val="24"/>
          <w:lang w:val="en-US" w:eastAsia="zh-CN"/>
        </w:rPr>
      </w:pPr>
      <w:r>
        <w:rPr>
          <w:rFonts w:hint="eastAsia" w:cs="Times New Roman"/>
          <w:color w:val="auto"/>
          <w:sz w:val="24"/>
          <w:szCs w:val="24"/>
          <w:lang w:val="en-US" w:eastAsia="zh-CN"/>
        </w:rPr>
        <w:t>3.危废间进一步做好防渗措施，补充危废台账，</w:t>
      </w:r>
      <w:r>
        <w:rPr>
          <w:rFonts w:hint="eastAsia" w:ascii="Times New Roman" w:hAnsi="Times New Roman" w:cs="Times New Roman"/>
          <w:color w:val="auto"/>
          <w:sz w:val="24"/>
          <w:szCs w:val="24"/>
          <w:lang w:val="en-US" w:eastAsia="zh-CN"/>
        </w:rPr>
        <w:t>严格按照《危险废物贮存污染控制标准》（GB18597-2001）及修改单要求，对产生的危险废物进行贮存和管理，并委托有资质的单位及时进行转移处置</w:t>
      </w:r>
      <w:r>
        <w:rPr>
          <w:rFonts w:hint="eastAsia" w:cs="Times New Roman"/>
          <w:color w:val="auto"/>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山东艾科特精工机械有限公司</w:t>
      </w:r>
    </w:p>
    <w:p>
      <w:pPr>
        <w:spacing w:line="360" w:lineRule="auto"/>
        <w:ind w:left="233" w:leftChars="111" w:firstLine="520" w:firstLineChars="216"/>
        <w:jc w:val="right"/>
        <w:rPr>
          <w:rFonts w:hint="default"/>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2022年1月23日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A67464"/>
    <w:rsid w:val="02E1230E"/>
    <w:rsid w:val="0363342C"/>
    <w:rsid w:val="0400088B"/>
    <w:rsid w:val="06DC5C52"/>
    <w:rsid w:val="0705220E"/>
    <w:rsid w:val="07E235D4"/>
    <w:rsid w:val="09E53528"/>
    <w:rsid w:val="0A775B6C"/>
    <w:rsid w:val="0BB105F9"/>
    <w:rsid w:val="0BCD78E3"/>
    <w:rsid w:val="0BD4352F"/>
    <w:rsid w:val="0C9D7A18"/>
    <w:rsid w:val="0D002E61"/>
    <w:rsid w:val="0E9F521D"/>
    <w:rsid w:val="110D6D4E"/>
    <w:rsid w:val="12BE4513"/>
    <w:rsid w:val="13242E95"/>
    <w:rsid w:val="17073D8B"/>
    <w:rsid w:val="188E6607"/>
    <w:rsid w:val="18B2210E"/>
    <w:rsid w:val="18D05E89"/>
    <w:rsid w:val="18E72AEC"/>
    <w:rsid w:val="19BD6A9B"/>
    <w:rsid w:val="1AAF6CA7"/>
    <w:rsid w:val="1B753DC5"/>
    <w:rsid w:val="1B7C7285"/>
    <w:rsid w:val="1BAC68BE"/>
    <w:rsid w:val="1DF30D46"/>
    <w:rsid w:val="1E9D1B02"/>
    <w:rsid w:val="20F95110"/>
    <w:rsid w:val="21E62141"/>
    <w:rsid w:val="23253252"/>
    <w:rsid w:val="24DD3549"/>
    <w:rsid w:val="27420539"/>
    <w:rsid w:val="27776D4F"/>
    <w:rsid w:val="284C33EF"/>
    <w:rsid w:val="286B6E9D"/>
    <w:rsid w:val="2BD129D7"/>
    <w:rsid w:val="2BFB35B9"/>
    <w:rsid w:val="2C8345D6"/>
    <w:rsid w:val="2D891AE4"/>
    <w:rsid w:val="2DE61E9D"/>
    <w:rsid w:val="2E594393"/>
    <w:rsid w:val="31572BC2"/>
    <w:rsid w:val="337178B1"/>
    <w:rsid w:val="33E80446"/>
    <w:rsid w:val="35A21894"/>
    <w:rsid w:val="35CA7C00"/>
    <w:rsid w:val="36292142"/>
    <w:rsid w:val="371221B6"/>
    <w:rsid w:val="395656FC"/>
    <w:rsid w:val="3A002C99"/>
    <w:rsid w:val="3B2962D5"/>
    <w:rsid w:val="3B9345B4"/>
    <w:rsid w:val="3C495586"/>
    <w:rsid w:val="3C614E95"/>
    <w:rsid w:val="3D216C63"/>
    <w:rsid w:val="3D481CA9"/>
    <w:rsid w:val="3ED72E6F"/>
    <w:rsid w:val="407E79EC"/>
    <w:rsid w:val="425A3055"/>
    <w:rsid w:val="42D02360"/>
    <w:rsid w:val="42ED0B8D"/>
    <w:rsid w:val="440B2C50"/>
    <w:rsid w:val="44FA0006"/>
    <w:rsid w:val="45B12AB5"/>
    <w:rsid w:val="46440069"/>
    <w:rsid w:val="483D5E39"/>
    <w:rsid w:val="4BC32318"/>
    <w:rsid w:val="4CF47C94"/>
    <w:rsid w:val="4D966CB6"/>
    <w:rsid w:val="51603323"/>
    <w:rsid w:val="52082039"/>
    <w:rsid w:val="520B1012"/>
    <w:rsid w:val="53D87E59"/>
    <w:rsid w:val="56DD1623"/>
    <w:rsid w:val="584674DB"/>
    <w:rsid w:val="584E7544"/>
    <w:rsid w:val="59632F9B"/>
    <w:rsid w:val="59772D6C"/>
    <w:rsid w:val="5B994AD0"/>
    <w:rsid w:val="5BB97A85"/>
    <w:rsid w:val="5C705EEE"/>
    <w:rsid w:val="5D580A9C"/>
    <w:rsid w:val="5F0C4CFF"/>
    <w:rsid w:val="602A22C2"/>
    <w:rsid w:val="64C4763E"/>
    <w:rsid w:val="65826A80"/>
    <w:rsid w:val="66FB5067"/>
    <w:rsid w:val="6A4209DB"/>
    <w:rsid w:val="6ABA50EB"/>
    <w:rsid w:val="6DEB0CC4"/>
    <w:rsid w:val="6E620EC2"/>
    <w:rsid w:val="70346B17"/>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3139</Words>
  <Characters>3490</Characters>
  <Lines>0</Lines>
  <Paragraphs>0</Paragraphs>
  <TotalTime>4</TotalTime>
  <ScaleCrop>false</ScaleCrop>
  <LinksUpToDate>false</LinksUpToDate>
  <CharactersWithSpaces>3532</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2022-06-25T04:06:36Z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3D5EB39E1CB94214806B83175F5F442D</vt:lpwstr>
  </property>
</Properties>
</file>