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东阿县华信钢球有限公司年产260吨轴承钢球项目（一期）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2022年6月4日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东阿县华信钢球有限公司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年产260吨轴承钢球项目（一期）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东阿县华信钢球有限公司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东阿县华信钢球有限公司位于东阿县姜楼镇齐南路北段路西，项目预计总投资260万元，租赁与原有工程同一厂区（东阿县再生资源有限公司院内）闲置土地，占地面积5621m</w:t>
      </w:r>
      <w:r>
        <w:rPr>
          <w:rFonts w:hint="eastAsia" w:cs="Times New Roman"/>
          <w:color w:val="auto"/>
          <w:sz w:val="24"/>
          <w:szCs w:val="24"/>
          <w:vertAlign w:val="superscript"/>
          <w:lang w:eastAsia="zh-CN"/>
        </w:rPr>
        <w:t>2</w:t>
      </w:r>
      <w:r>
        <w:rPr>
          <w:rFonts w:hint="eastAsia" w:cs="Times New Roman"/>
          <w:color w:val="auto"/>
          <w:sz w:val="24"/>
          <w:szCs w:val="24"/>
          <w:lang w:eastAsia="zh-CN"/>
        </w:rPr>
        <w:t>，本项目依托厂区已有生产车间，并新建综合生产车间，建设年产260吨轴承钢球项目。</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由于企业资金问题，实际总投资180万元，实际购置设备较环评设计数量少，实际生产规模可达年产104吨轴承钢球，项目分期验收，本次验收为一期</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东阿县华信钢球有限公司原有工程为轴承钢球生产项目，该项目购进热轧盘条为原料，经过拔丝、冷镦、光球、淬火、初研、精研后检验包装即为成品，生产能力为360吨/年轴承钢球。项目于2017年10月26日通过了原东阿县环境保护局的审批，2018年初建成投产，2019年6月完成一期验收（一期年生产216吨轴承钢球），建设单位明确不再进行二期（剩余144吨/年轴承钢球）的建设。企业为了适应市场需求，提高产品等级（产品级别从十六级提高为十级），新增球化、强化等工序设备，进行年产260吨轴承钢球项目建设。</w:t>
      </w:r>
    </w:p>
    <w:p>
      <w:pPr>
        <w:spacing w:line="360" w:lineRule="auto"/>
        <w:ind w:left="233" w:leftChars="111" w:firstLine="518" w:firstLineChars="216"/>
        <w:rPr>
          <w:rFonts w:hint="eastAsia" w:cs="Times New Roman"/>
          <w:color w:val="auto"/>
          <w:kern w:val="2"/>
          <w:sz w:val="24"/>
          <w:szCs w:val="24"/>
          <w:lang w:val="en-US" w:eastAsia="zh-CN" w:bidi="ar-SA"/>
        </w:rPr>
      </w:pPr>
      <w:r>
        <w:rPr>
          <w:rFonts w:hint="eastAsia" w:cs="Times New Roman"/>
          <w:color w:val="auto"/>
          <w:kern w:val="2"/>
          <w:sz w:val="24"/>
          <w:szCs w:val="24"/>
          <w:lang w:val="en-US" w:eastAsia="zh-CN" w:bidi="ar-SA"/>
        </w:rPr>
        <w:t>2020年9月东阿县华信钢球有限公司委托聊城市环境科学工程设计院有限公司编制了《东阿县华信钢球有限公司年产260吨轴承钢球项目环境影响报告表》，2020年09月23日东阿县行政审批服务局以东行审环报告表〔2020〕93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2022年5月公司委托山东绿和环保咨询有限公司进行本项目一期的环保验收工作，山东绿和环保咨询有限公司组织有关技术人员进行现场踏勘，依据监测技术规范制定了环保验收一期监测方案，并委托山东聊和环保科技有限公司于2022年05月24日-25日对该企业进行了项目检测，根据验收监测结果和现场检查情况，山东绿和环保咨询有限公司编制了本项目一期验收监测报告</w:t>
      </w:r>
      <w:r>
        <w:rPr>
          <w:rFonts w:hint="default" w:ascii="Times New Roman" w:hAnsi="Times New Roman" w:eastAsia="宋体" w:cs="Times New Roman"/>
          <w:color w:val="auto"/>
          <w:kern w:val="2"/>
          <w:sz w:val="24"/>
          <w:szCs w:val="24"/>
          <w:lang w:val="en-US" w:eastAsia="zh-CN" w:bidi="ar-SA"/>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一期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180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15</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8.33</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年产104吨轴承钢球生产设备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①生产规模</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于企业资金问题，实际总投资180万元，实际购置设备较环评设计数量少，且实际购置的冷镦机较原有项目及环评设计更优质，可大幅缩减光球工序运行时间，故光球设备购置比环评设计数量少，但未影响综合产能；选球机依托原有项目。实际生产规模可达年产104吨轴承钢球，项目分期验收，本次验收为一期，一期不含球化工序。</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②环保设施</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处理设备环评批复要求为淬火油池上方、煤油脱水和涂防锈油设备上方应分别安装集气罩和1套废气处理设施（水喷淋＋气液分离装置＋复合光电废气处理设备）后由15米高排气筒P1、P2通过厂房屋顶高空排放，实际为淬火油池上方、煤油脱水和涂防锈油设备上方分别安装集气罩，经1套废气处理设施（水喷淋＋两级活性炭）后由一根15米高排气筒有组织排放（依托原有工程处理设施）。</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环评批复要求洗球废水经溶气气浮污水处理设施处理后，达到《城市污水再生利用 工业用水水质》（GB/T 19923-2005）表1中的洗涤用水标准后回用于清洗循环水池。实际</w:t>
      </w:r>
      <w:r>
        <w:rPr>
          <w:rFonts w:hint="eastAsia" w:cs="Times New Roman"/>
          <w:color w:val="auto"/>
          <w:sz w:val="24"/>
          <w:szCs w:val="24"/>
          <w:lang w:eastAsia="zh-CN"/>
        </w:rPr>
        <w:t>煤油脱水工序沾过水的煤油经沉淀-蒸馏-冷却后，分离出的煤油循环利用，分离出的水排入洗球循环水池，不外排</w:t>
      </w:r>
      <w:r>
        <w:rPr>
          <w:rFonts w:hint="default" w:ascii="Times New Roman" w:hAnsi="Times New Roman" w:eastAsia="宋体" w:cs="Times New Roman"/>
          <w:color w:val="auto"/>
          <w:sz w:val="24"/>
          <w:szCs w:val="24"/>
        </w:rPr>
        <w:t xml:space="preserve">；洗球用水排入洗球循环水池循环利用，定期补充损耗，不外排，因其中含磨削液，经多次循环利用后，排入光球、磨球沉淀池内用于光球、磨球工序作为稀释后的磨削液使用。且本项目煤油脱水及洗球废水不属于《城市污水再生利用 工业用水水质》（GB/T 19923-2005）中所述城市污水，故无需满足其洗涤用水标准。 </w:t>
      </w:r>
      <w:bookmarkStart w:id="0" w:name="_GoBack"/>
      <w:bookmarkEnd w:id="0"/>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根据《关于印发污染影响类建设项目重大变动清单（试行）的通知》环办环评函〔2020〕688号，项目生产性质、生产规模、生产地点、生产工艺及环保设施均无明显变动，项目不涉及重大变更。</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kern w:val="2"/>
          <w:sz w:val="24"/>
          <w:szCs w:val="24"/>
          <w:lang w:val="en-US" w:eastAsia="zh-CN" w:bidi="ar-SA"/>
        </w:rPr>
        <w:t>本项目磨削液稀释、淬火油池冷却用水均循环使用，定期补充损耗，不外排；煤油脱水工序沾过水的煤油经沉淀-蒸馏-冷却后，分离出的煤油循环利用，分离出的水排入洗球循环水池，不外排；洗球用水排入洗球循环水池循环利用，定期补充损耗，不外排，因其中含磨削液，经多次循环利用后，排入光球、磨球沉淀池内用于光球、磨球工序作为稀释后的磨削液使用；废气处理设施喷淋塔用水循环使用，定期补充损耗，不外排。故本项目废水主要为生活废水，经原有工程化粪池预处理后全部由当地环卫部门清运</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来自钢球淬火、煤油脱水和涂防锈油工序产生的VOCs和磨盘修整时产生的粉尘。淬火油池上方、煤油脱水和涂防锈油设备上方分别安装集气罩，经1套废气处理设施（水喷淋＋两级活性炭）后由一根15米高排气筒有组织排放（依托原有工程处理设施）。磨盘修整过程产生少量的金属粉尘，由于粉尘产生量较小，且钢尘颗粒较大，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本项目噪声主要来源于生产设备的运转。通过基础减振、距离衰减、并将设备布置在封闭车间内等综合控制措施，降低对外环境的影响。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产生的金属屑、次品、铁泥均属于一般固废，外售于相关企业综合利用；职工办公生活垃圾由环卫部门处理。废磨削液、淬火油池泥渣、废活性炭、废机油属于危险废物，委托有危险废物资质的单位代为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东阿县华信钢球有限公司年产260吨轴承钢球项目（一期）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验收监测期间，有组织VOCs最高排放浓度为1.29mg/m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，排放速率最高为2.31×10</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kg/h，满足《挥发性有机物排放标准 第7部分：其他行业》（DB37/2801.7-2019）表1中II时段要求。厂界无组织VOCs小时浓度最高为0.43mg/m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，满足《挥发性有机物排放标准 第7部分：其他行业》表2标准限值要求；厂房门口无组织VOCs小时浓度最高为0.38mg/m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，满足《挥发性有机物无组织排放控制标准》要求；无组织颗粒物小时浓度最高为0.255mg/m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，满足《大气污染物综合排放标准》表2标准限值要求。</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总量控制：根据本次项目监测结果，以及企业提供运行时间，本项目VOCs折算为满负荷后排放总量为0.00506t/a，满足批复中总量控制指标VOCs：0.342t/a。</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验收监测期间，监测点位昼间噪声在53.8-58.6(dB)之间，符合《工业企业厂界环境噪声排放标准》（GB12348-2008）中的2类标准限值。</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东阿县华信钢球有限公司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东阿县华信钢球有限公司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1.将淬火油池整体进一步密闭，进一步规范煤油清洗工序的集气罩，保证废气可有效收集。</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2.设备周围油污较严重，存在跑冒滴漏现象，注意车间卫生，保持清洁生产。</w:t>
      </w:r>
    </w:p>
    <w:p>
      <w:pPr>
        <w:spacing w:line="360" w:lineRule="auto"/>
        <w:ind w:left="233" w:leftChars="111" w:firstLine="518" w:firstLineChars="216"/>
        <w:rPr>
          <w:rFonts w:hint="eastAsia"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3.有机废气收集管道较长，风量较小，应加大风机风量，确保废气有效收集。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东阿县华信钢球有限公司验收组</w:t>
      </w:r>
    </w:p>
    <w:p>
      <w:pPr>
        <w:spacing w:line="360" w:lineRule="auto"/>
        <w:ind w:left="233" w:leftChars="111" w:firstLine="520" w:firstLineChars="216"/>
        <w:jc w:val="right"/>
        <w:rPr>
          <w:rFonts w:hint="default"/>
          <w:color w:val="auto"/>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2022年6月4日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0D968A5"/>
    <w:rsid w:val="01A67464"/>
    <w:rsid w:val="02E1230E"/>
    <w:rsid w:val="0363342C"/>
    <w:rsid w:val="0400088B"/>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333BED"/>
    <w:rsid w:val="1AAF6CA7"/>
    <w:rsid w:val="1B753DC5"/>
    <w:rsid w:val="1B7C7285"/>
    <w:rsid w:val="1BAC68BE"/>
    <w:rsid w:val="1CB626A7"/>
    <w:rsid w:val="1DF30D46"/>
    <w:rsid w:val="1E9D1B02"/>
    <w:rsid w:val="2034420A"/>
    <w:rsid w:val="20F95110"/>
    <w:rsid w:val="21E62141"/>
    <w:rsid w:val="23253252"/>
    <w:rsid w:val="24DD3549"/>
    <w:rsid w:val="27420539"/>
    <w:rsid w:val="27776D4F"/>
    <w:rsid w:val="284C33EF"/>
    <w:rsid w:val="285F3444"/>
    <w:rsid w:val="286B6E9D"/>
    <w:rsid w:val="2BD129D7"/>
    <w:rsid w:val="2BFB35B9"/>
    <w:rsid w:val="2C8345D6"/>
    <w:rsid w:val="2DE61E9D"/>
    <w:rsid w:val="2E594393"/>
    <w:rsid w:val="31572BC2"/>
    <w:rsid w:val="3195538F"/>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D0FBB"/>
    <w:rsid w:val="3EF115E1"/>
    <w:rsid w:val="3F75276A"/>
    <w:rsid w:val="407E79EC"/>
    <w:rsid w:val="425A3055"/>
    <w:rsid w:val="42D02360"/>
    <w:rsid w:val="42ED0B8D"/>
    <w:rsid w:val="440B2C50"/>
    <w:rsid w:val="45B12AB5"/>
    <w:rsid w:val="46440069"/>
    <w:rsid w:val="483D5E39"/>
    <w:rsid w:val="4BC32318"/>
    <w:rsid w:val="4CF47C94"/>
    <w:rsid w:val="4D966CB6"/>
    <w:rsid w:val="5075222B"/>
    <w:rsid w:val="51603323"/>
    <w:rsid w:val="51800668"/>
    <w:rsid w:val="52082039"/>
    <w:rsid w:val="520B1012"/>
    <w:rsid w:val="53D87E59"/>
    <w:rsid w:val="558B3EEA"/>
    <w:rsid w:val="56DD1623"/>
    <w:rsid w:val="584674DB"/>
    <w:rsid w:val="59632F9B"/>
    <w:rsid w:val="59772D6C"/>
    <w:rsid w:val="5B994AD0"/>
    <w:rsid w:val="5BB97A85"/>
    <w:rsid w:val="5C705EEE"/>
    <w:rsid w:val="5D580A9C"/>
    <w:rsid w:val="5DD9443E"/>
    <w:rsid w:val="5F0C4CFF"/>
    <w:rsid w:val="602A22C2"/>
    <w:rsid w:val="64C4763E"/>
    <w:rsid w:val="65826A80"/>
    <w:rsid w:val="66FB5067"/>
    <w:rsid w:val="6A4209DB"/>
    <w:rsid w:val="6ABA50EB"/>
    <w:rsid w:val="6CE7626B"/>
    <w:rsid w:val="6DEB0CC4"/>
    <w:rsid w:val="6E620EC2"/>
    <w:rsid w:val="701F78C4"/>
    <w:rsid w:val="70346B17"/>
    <w:rsid w:val="70FA12EC"/>
    <w:rsid w:val="710C46C4"/>
    <w:rsid w:val="72964393"/>
    <w:rsid w:val="72C90F73"/>
    <w:rsid w:val="7593546D"/>
    <w:rsid w:val="75C3338A"/>
    <w:rsid w:val="76AB541C"/>
    <w:rsid w:val="77930543"/>
    <w:rsid w:val="7A9B7079"/>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3284</Words>
  <Characters>3520</Characters>
  <Lines>0</Lines>
  <Paragraphs>0</Paragraphs>
  <TotalTime>117</TotalTime>
  <ScaleCrop>false</ScaleCrop>
  <LinksUpToDate>false</LinksUpToDate>
  <CharactersWithSpaces>3565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2022-07-04T01:12:52Z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5F3E9D957CC14E9F938D06946CE12F19</vt:lpwstr>
  </property>
  <property fmtid="{D5CDD505-2E9C-101B-9397-08002B2CF9AE}" pid="4" name="commondata">
    <vt:lpwstr>eyJoZGlkIjoiZWZiMmQyNTFkOTFmY2M3Y2Q3YzEzYmZlMzM2ZWU0M2EifQ==</vt:lpwstr>
  </property>
</Properties>
</file>