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cs="Times New Roman" w:eastAsiaTheme="majorEastAsia"/>
          <w:b/>
          <w:sz w:val="28"/>
          <w:szCs w:val="28"/>
        </w:rPr>
      </w:pPr>
      <w:r>
        <w:rPr>
          <w:rFonts w:hint="eastAsia" w:cs="Times New Roman" w:eastAsiaTheme="majorEastAsia"/>
          <w:b/>
          <w:sz w:val="28"/>
          <w:szCs w:val="28"/>
          <w:lang w:eastAsia="zh-CN"/>
        </w:rPr>
        <w:t>聊城宏达建筑工程有限公司预拌商品混凝土生产项目（二期）</w:t>
      </w:r>
      <w:r>
        <w:rPr>
          <w:rFonts w:hint="default" w:ascii="Times New Roman" w:hAnsi="Times New Roman" w:cs="Times New Roman" w:eastAsiaTheme="majorEastAsia"/>
          <w:b/>
          <w:sz w:val="28"/>
          <w:szCs w:val="28"/>
        </w:rPr>
        <w:t>竣工环境保护验收现场检查及验收工作组验收意见</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280" w:firstLineChars="100"/>
        <w:textAlignment w:val="auto"/>
        <w:rPr>
          <w:rFonts w:hint="default" w:ascii="Times New Roman" w:hAnsi="Times New Roman" w:cs="Times New Roman" w:eastAsiaTheme="minorEastAsia"/>
          <w:sz w:val="24"/>
        </w:rPr>
      </w:pPr>
      <w:r>
        <w:rPr>
          <w:rFonts w:hint="default" w:ascii="Times New Roman" w:hAnsi="Times New Roman" w:eastAsia="楷体_GB2312" w:cs="Times New Roman"/>
          <w:sz w:val="28"/>
          <w:szCs w:val="28"/>
          <w:highlight w:val="none"/>
        </w:rPr>
        <w:t xml:space="preserve"> </w:t>
      </w:r>
      <w:r>
        <w:rPr>
          <w:rFonts w:hint="default" w:ascii="Times New Roman" w:hAnsi="Times New Roman" w:cs="Times New Roman" w:eastAsiaTheme="minorEastAsia"/>
          <w:sz w:val="28"/>
          <w:szCs w:val="28"/>
          <w:highlight w:val="none"/>
        </w:rPr>
        <w:t xml:space="preserve"> </w:t>
      </w:r>
      <w:r>
        <w:rPr>
          <w:rFonts w:hint="default" w:ascii="Times New Roman" w:hAnsi="Times New Roman" w:cs="Times New Roman" w:eastAsiaTheme="minorEastAsia"/>
          <w:sz w:val="24"/>
          <w:highlight w:val="none"/>
        </w:rPr>
        <w:t>202</w:t>
      </w:r>
      <w:r>
        <w:rPr>
          <w:rFonts w:hint="default" w:ascii="Times New Roman" w:hAnsi="Times New Roman" w:cs="Times New Roman" w:eastAsiaTheme="minorEastAsia"/>
          <w:sz w:val="24"/>
          <w:highlight w:val="none"/>
          <w:lang w:val="en-US" w:eastAsia="zh-CN"/>
        </w:rPr>
        <w:t>2</w:t>
      </w:r>
      <w:r>
        <w:rPr>
          <w:rFonts w:hint="default" w:ascii="Times New Roman" w:hAnsi="Times New Roman" w:cs="Times New Roman" w:eastAsiaTheme="minorEastAsia"/>
          <w:sz w:val="24"/>
          <w:highlight w:val="none"/>
        </w:rPr>
        <w:t>年</w:t>
      </w:r>
      <w:r>
        <w:rPr>
          <w:rFonts w:hint="default" w:ascii="Times New Roman" w:hAnsi="Times New Roman" w:cs="Times New Roman" w:eastAsiaTheme="minorEastAsia"/>
          <w:sz w:val="24"/>
          <w:highlight w:val="none"/>
          <w:lang w:val="en-US" w:eastAsia="zh-CN"/>
        </w:rPr>
        <w:t>0</w:t>
      </w:r>
      <w:r>
        <w:rPr>
          <w:rFonts w:hint="eastAsia" w:cs="Times New Roman" w:eastAsiaTheme="minorEastAsia"/>
          <w:sz w:val="24"/>
          <w:highlight w:val="none"/>
          <w:lang w:val="en-US" w:eastAsia="zh-CN"/>
        </w:rPr>
        <w:t>6</w:t>
      </w:r>
      <w:r>
        <w:rPr>
          <w:rFonts w:hint="default" w:ascii="Times New Roman" w:hAnsi="Times New Roman" w:cs="Times New Roman" w:eastAsiaTheme="minorEastAsia"/>
          <w:sz w:val="24"/>
          <w:highlight w:val="none"/>
        </w:rPr>
        <w:t>月</w:t>
      </w:r>
      <w:r>
        <w:rPr>
          <w:rFonts w:hint="eastAsia" w:cs="Times New Roman" w:eastAsiaTheme="minorEastAsia"/>
          <w:sz w:val="24"/>
          <w:highlight w:val="none"/>
          <w:lang w:val="en-US" w:eastAsia="zh-CN"/>
        </w:rPr>
        <w:t>04</w:t>
      </w:r>
      <w:r>
        <w:rPr>
          <w:rFonts w:hint="default" w:ascii="Times New Roman" w:hAnsi="Times New Roman" w:cs="Times New Roman" w:eastAsiaTheme="minorEastAsia"/>
          <w:sz w:val="24"/>
          <w:highlight w:val="none"/>
        </w:rPr>
        <w:t>日，</w:t>
      </w:r>
      <w:r>
        <w:rPr>
          <w:rFonts w:hint="eastAsia" w:cs="Times New Roman" w:eastAsiaTheme="minorEastAsia"/>
          <w:sz w:val="24"/>
          <w:lang w:eastAsia="zh-CN"/>
        </w:rPr>
        <w:t>聊城宏达建筑工程有限公司</w:t>
      </w:r>
      <w:r>
        <w:rPr>
          <w:rFonts w:hint="default" w:ascii="Times New Roman" w:hAnsi="Times New Roman" w:cs="Times New Roman" w:eastAsiaTheme="minorEastAsia"/>
          <w:sz w:val="24"/>
        </w:rPr>
        <w:t>组织召开</w:t>
      </w:r>
      <w:r>
        <w:rPr>
          <w:rFonts w:hint="eastAsia" w:cs="Times New Roman" w:eastAsiaTheme="minorEastAsia"/>
          <w:sz w:val="24"/>
          <w:lang w:eastAsia="zh-CN"/>
        </w:rPr>
        <w:t>聊城宏达建筑工程有限公司预拌商品混凝土生产项目（二期）</w:t>
      </w:r>
      <w:r>
        <w:rPr>
          <w:rFonts w:hint="default" w:ascii="Times New Roman" w:hAnsi="Times New Roman" w:cs="Times New Roman" w:eastAsiaTheme="minorEastAsia"/>
          <w:sz w:val="24"/>
        </w:rPr>
        <w:t>竣工环境保护验收现场检查及验收会。</w:t>
      </w:r>
      <w:r>
        <w:rPr>
          <w:rFonts w:hint="default" w:ascii="Times New Roman" w:hAnsi="Times New Roman" w:eastAsia="宋体" w:cs="Times New Roman"/>
          <w:sz w:val="24"/>
          <w:szCs w:val="24"/>
        </w:rPr>
        <w:t>验收工作组由工程建设单位（</w:t>
      </w:r>
      <w:r>
        <w:rPr>
          <w:rFonts w:hint="eastAsia" w:cs="Times New Roman" w:eastAsiaTheme="minorEastAsia"/>
          <w:sz w:val="24"/>
          <w:lang w:eastAsia="zh-CN"/>
        </w:rPr>
        <w:t>聊城宏达建筑工程有限公司</w:t>
      </w:r>
      <w:r>
        <w:rPr>
          <w:rFonts w:hint="default" w:ascii="Times New Roman" w:hAnsi="Times New Roman" w:eastAsia="宋体" w:cs="Times New Roman"/>
          <w:sz w:val="24"/>
          <w:szCs w:val="24"/>
        </w:rPr>
        <w:t>）、</w:t>
      </w:r>
      <w:r>
        <w:rPr>
          <w:rFonts w:hint="default" w:ascii="Times New Roman" w:hAnsi="Times New Roman" w:cs="Times New Roman"/>
          <w:sz w:val="24"/>
          <w:szCs w:val="24"/>
          <w:lang w:eastAsia="zh-CN"/>
        </w:rPr>
        <w:t>检</w:t>
      </w:r>
      <w:r>
        <w:rPr>
          <w:rFonts w:hint="default" w:ascii="Times New Roman" w:hAnsi="Times New Roman" w:eastAsia="宋体" w:cs="Times New Roman"/>
          <w:sz w:val="24"/>
          <w:szCs w:val="24"/>
        </w:rPr>
        <w:t>测单位（山东聊和环保科技有限公司）、</w:t>
      </w:r>
      <w:r>
        <w:rPr>
          <w:rFonts w:hint="default" w:ascii="Times New Roman" w:hAnsi="Times New Roman" w:cs="Times New Roman"/>
          <w:sz w:val="24"/>
          <w:szCs w:val="24"/>
          <w:lang w:eastAsia="zh-CN"/>
        </w:rPr>
        <w:t>验收报告编制单位（山东绿和环保咨询有限公司）</w:t>
      </w:r>
      <w:r>
        <w:rPr>
          <w:rFonts w:hint="default" w:ascii="Times New Roman" w:hAnsi="Times New Roman" w:eastAsia="宋体" w:cs="Times New Roman"/>
          <w:sz w:val="24"/>
          <w:szCs w:val="24"/>
        </w:rPr>
        <w:t>并特邀2名技术专家（名单附后）组成。</w:t>
      </w:r>
      <w:r>
        <w:rPr>
          <w:rFonts w:hint="default" w:ascii="Times New Roman" w:hAnsi="Times New Roman" w:cs="Times New Roman" w:eastAsiaTheme="minorEastAsia"/>
          <w:sz w:val="24"/>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keepNext w:val="0"/>
        <w:keepLines w:val="0"/>
        <w:pageBreakBefore w:val="0"/>
        <w:tabs>
          <w:tab w:val="left" w:pos="360"/>
        </w:tabs>
        <w:kinsoku/>
        <w:wordWrap/>
        <w:overflowPunct/>
        <w:topLinePunct w:val="0"/>
        <w:autoSpaceDE/>
        <w:autoSpaceDN/>
        <w:bidi w:val="0"/>
        <w:spacing w:line="384" w:lineRule="auto"/>
        <w:ind w:left="298" w:leftChars="142" w:firstLine="560" w:firstLineChars="200"/>
        <w:jc w:val="left"/>
        <w:textAlignment w:val="auto"/>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一、工程建设基本情况</w:t>
      </w:r>
    </w:p>
    <w:p>
      <w:pPr>
        <w:keepNext w:val="0"/>
        <w:keepLines w:val="0"/>
        <w:pageBreakBefore w:val="0"/>
        <w:tabs>
          <w:tab w:val="left" w:pos="360"/>
        </w:tabs>
        <w:kinsoku/>
        <w:wordWrap/>
        <w:overflowPunct/>
        <w:topLinePunct w:val="0"/>
        <w:autoSpaceDE/>
        <w:autoSpaceDN/>
        <w:bidi w:val="0"/>
        <w:spacing w:line="384" w:lineRule="auto"/>
        <w:ind w:firstLine="480" w:firstLineChars="20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（1）建设地点、规模、主要建设内容</w:t>
      </w:r>
    </w:p>
    <w:p>
      <w:pPr>
        <w:keepNext/>
        <w:keepLines/>
        <w:widowControl/>
        <w:topLinePunct/>
        <w:spacing w:line="360" w:lineRule="auto"/>
        <w:ind w:firstLine="480" w:firstLineChars="200"/>
        <w:rPr>
          <w:rFonts w:hint="default" w:ascii="Times New Roman" w:hAnsi="Times New Roman" w:eastAsia="宋体" w:cs="Times New Roman"/>
          <w:sz w:val="24"/>
          <w:szCs w:val="24"/>
          <w:highlight w:val="none"/>
          <w:shd w:val="clear" w:color="auto" w:fill="auto"/>
          <w:lang w:eastAsia="zh-CN"/>
        </w:rPr>
      </w:pPr>
      <w:r>
        <w:rPr>
          <w:rFonts w:hint="default" w:ascii="Times New Roman" w:hAnsi="Times New Roman" w:eastAsia="宋体" w:cs="Times New Roman"/>
          <w:sz w:val="24"/>
          <w:szCs w:val="24"/>
          <w:lang w:eastAsia="zh-CN"/>
        </w:rPr>
        <w:t>聊城宏达建筑工程有限公司位于聊城市莘县燕塔街道大姜庄村，计划总投资1467.61万元，购置商品混凝土生产线</w:t>
      </w:r>
      <w:r>
        <w:rPr>
          <w:rFonts w:hint="default" w:ascii="Times New Roman" w:hAnsi="Times New Roman" w:eastAsia="宋体" w:cs="Times New Roman"/>
          <w:sz w:val="24"/>
          <w:szCs w:val="24"/>
          <w:lang w:val="en-US" w:eastAsia="zh-CN"/>
        </w:rPr>
        <w:t>3条，</w:t>
      </w:r>
      <w:r>
        <w:rPr>
          <w:rFonts w:hint="eastAsia" w:ascii="Times New Roman" w:hAnsi="Times New Roman" w:eastAsia="宋体" w:cs="Times New Roman"/>
          <w:sz w:val="24"/>
          <w:szCs w:val="24"/>
          <w:lang w:val="en-US" w:eastAsia="zh-CN"/>
        </w:rPr>
        <w:t>建设年产</w:t>
      </w:r>
      <w:r>
        <w:rPr>
          <w:rFonts w:hint="eastAsia" w:ascii="Times New Roman" w:hAnsi="Times New Roman" w:eastAsia="宋体" w:cs="Times New Roman"/>
          <w:sz w:val="24"/>
          <w:szCs w:val="24"/>
          <w:highlight w:val="none"/>
          <w:shd w:val="clear" w:color="auto" w:fill="auto"/>
          <w:lang w:val="en-US" w:eastAsia="zh-CN"/>
        </w:rPr>
        <w:t>90000</w:t>
      </w:r>
      <w:r>
        <w:rPr>
          <w:rFonts w:hint="default" w:ascii="Times New Roman" w:hAnsi="Times New Roman" w:eastAsia="宋体" w:cs="Times New Roman"/>
          <w:sz w:val="24"/>
          <w:szCs w:val="24"/>
          <w:highlight w:val="none"/>
          <w:shd w:val="clear" w:color="auto" w:fill="auto"/>
          <w:lang w:eastAsia="zh-CN"/>
        </w:rPr>
        <w:t>立方米预拌商品混凝土</w:t>
      </w:r>
      <w:r>
        <w:rPr>
          <w:rFonts w:hint="eastAsia" w:ascii="Times New Roman" w:hAnsi="Times New Roman" w:eastAsia="宋体" w:cs="Times New Roman"/>
          <w:sz w:val="24"/>
          <w:szCs w:val="24"/>
          <w:highlight w:val="none"/>
          <w:shd w:val="clear" w:color="auto" w:fill="auto"/>
          <w:lang w:eastAsia="zh-CN"/>
        </w:rPr>
        <w:t>。</w:t>
      </w:r>
      <w:r>
        <w:rPr>
          <w:rFonts w:hint="eastAsia" w:ascii="Times New Roman" w:hAnsi="Times New Roman" w:eastAsia="宋体" w:cs="Times New Roman"/>
          <w:sz w:val="24"/>
          <w:szCs w:val="24"/>
          <w:highlight w:val="none"/>
          <w:shd w:val="clear" w:color="auto" w:fill="auto"/>
          <w:lang w:val="en-US" w:eastAsia="zh-CN"/>
        </w:rPr>
        <w:t>2018年7月进行了一期验收，</w:t>
      </w:r>
      <w:r>
        <w:rPr>
          <w:rFonts w:hint="default" w:ascii="Times New Roman" w:hAnsi="Times New Roman" w:eastAsia="宋体" w:cs="Times New Roman"/>
          <w:sz w:val="24"/>
          <w:szCs w:val="24"/>
          <w:lang w:val="en-US" w:eastAsia="zh-CN"/>
        </w:rPr>
        <w:t>一期投资600万元，购置1套HLS180生产线并配备相应混凝土搅拌运输车建设年产35000立方米预拌商品混凝土，本次验收为二期，</w:t>
      </w:r>
      <w:r>
        <w:rPr>
          <w:rFonts w:hint="default" w:ascii="Times New Roman" w:hAnsi="Times New Roman" w:eastAsia="宋体" w:cs="Times New Roman"/>
          <w:sz w:val="24"/>
          <w:szCs w:val="24"/>
          <w:highlight w:val="none"/>
          <w:shd w:val="clear" w:color="auto" w:fill="auto"/>
          <w:lang w:eastAsia="zh-CN"/>
        </w:rPr>
        <w:t>二期投资</w:t>
      </w:r>
      <w:r>
        <w:rPr>
          <w:rFonts w:hint="default" w:ascii="Times New Roman" w:hAnsi="Times New Roman" w:eastAsia="宋体" w:cs="Times New Roman"/>
          <w:sz w:val="24"/>
          <w:szCs w:val="24"/>
          <w:highlight w:val="none"/>
          <w:shd w:val="clear" w:color="auto" w:fill="auto"/>
          <w:lang w:val="en-US" w:eastAsia="zh-CN"/>
        </w:rPr>
        <w:t>430万元，购置1套HLS120</w:t>
      </w:r>
      <w:r>
        <w:rPr>
          <w:rFonts w:hint="default" w:ascii="Times New Roman" w:hAnsi="Times New Roman" w:eastAsia="宋体" w:cs="Times New Roman"/>
          <w:sz w:val="24"/>
          <w:szCs w:val="24"/>
          <w:highlight w:val="none"/>
          <w:shd w:val="clear" w:color="auto" w:fill="auto"/>
          <w:lang w:eastAsia="zh-CN"/>
        </w:rPr>
        <w:t>商品混凝土生产线、混凝土搅拌运输车等设备，生产规模达到年产</w:t>
      </w:r>
      <w:r>
        <w:rPr>
          <w:rFonts w:hint="eastAsia" w:ascii="Times New Roman" w:hAnsi="Times New Roman" w:eastAsia="宋体" w:cs="Times New Roman"/>
          <w:sz w:val="24"/>
          <w:szCs w:val="24"/>
          <w:highlight w:val="none"/>
          <w:shd w:val="clear" w:color="auto" w:fill="auto"/>
          <w:lang w:val="en-US" w:eastAsia="zh-CN"/>
        </w:rPr>
        <w:t>27500</w:t>
      </w:r>
      <w:r>
        <w:rPr>
          <w:rFonts w:hint="default" w:ascii="Times New Roman" w:hAnsi="Times New Roman" w:eastAsia="宋体" w:cs="Times New Roman"/>
          <w:sz w:val="24"/>
          <w:szCs w:val="24"/>
          <w:highlight w:val="none"/>
          <w:shd w:val="clear" w:color="auto" w:fill="auto"/>
          <w:lang w:eastAsia="zh-CN"/>
        </w:rPr>
        <w:t>立方米预拌商品混凝土。</w:t>
      </w:r>
    </w:p>
    <w:p>
      <w:pPr>
        <w:keepNext/>
        <w:keepLines/>
        <w:widowControl/>
        <w:topLinePunct/>
        <w:spacing w:line="360" w:lineRule="auto"/>
        <w:ind w:firstLine="480" w:firstLineChars="200"/>
        <w:rPr>
          <w:rFonts w:hint="default"/>
          <w:lang w:eastAsia="zh-CN"/>
        </w:rPr>
      </w:pPr>
      <w:r>
        <w:rPr>
          <w:rFonts w:hint="eastAsia" w:ascii="Times New Roman" w:hAnsi="Times New Roman" w:eastAsia="宋体" w:cs="Times New Roman"/>
          <w:sz w:val="24"/>
          <w:szCs w:val="24"/>
          <w:highlight w:val="none"/>
          <w:shd w:val="clear" w:color="auto" w:fill="auto"/>
          <w:lang w:eastAsia="zh-CN"/>
        </w:rPr>
        <w:t>经现场勘察，一期HLS180生产线在一期验收时上料过程产生的粉尘经布袋除尘器收集后于车间无组织排放，在二期验收时HLS180生产线上料工序布袋除尘器</w:t>
      </w:r>
      <w:r>
        <w:rPr>
          <w:rFonts w:hint="eastAsia" w:cs="Times New Roman"/>
          <w:sz w:val="24"/>
          <w:szCs w:val="24"/>
          <w:highlight w:val="none"/>
          <w:shd w:val="clear" w:color="auto" w:fill="auto"/>
          <w:lang w:eastAsia="zh-CN"/>
        </w:rPr>
        <w:t>已</w:t>
      </w:r>
      <w:r>
        <w:rPr>
          <w:rFonts w:hint="eastAsia" w:ascii="Times New Roman" w:hAnsi="Times New Roman" w:eastAsia="宋体" w:cs="Times New Roman"/>
          <w:sz w:val="24"/>
          <w:szCs w:val="24"/>
          <w:highlight w:val="none"/>
          <w:shd w:val="clear" w:color="auto" w:fill="auto"/>
          <w:lang w:eastAsia="zh-CN"/>
        </w:rPr>
        <w:t>由车间内移到车间外，上料粉尘由布袋除尘器收集后于车间无组织排放变更为有组织15米高排气筒P1排放。</w:t>
      </w:r>
      <w:r>
        <w:rPr>
          <w:rFonts w:hint="eastAsia" w:ascii="Times New Roman" w:hAnsi="Times New Roman" w:eastAsia="宋体" w:cs="Times New Roman"/>
          <w:color w:val="auto"/>
          <w:sz w:val="24"/>
          <w:szCs w:val="24"/>
          <w:lang w:val="en-US" w:eastAsia="zh-CN"/>
        </w:rPr>
        <w:t>为保证废气、噪声等可达标排放，对已购置生产设备及其配套环保设施进行全厂验收，全厂生产规模可达</w:t>
      </w:r>
      <w:r>
        <w:rPr>
          <w:rFonts w:hint="default" w:ascii="Times New Roman" w:hAnsi="Times New Roman" w:eastAsia="宋体" w:cs="Times New Roman"/>
          <w:sz w:val="24"/>
          <w:szCs w:val="24"/>
          <w:highlight w:val="none"/>
          <w:shd w:val="clear" w:color="auto" w:fill="auto"/>
          <w:lang w:eastAsia="zh-CN"/>
        </w:rPr>
        <w:t>年产</w:t>
      </w:r>
      <w:r>
        <w:rPr>
          <w:rFonts w:hint="eastAsia" w:ascii="Times New Roman" w:hAnsi="Times New Roman" w:eastAsia="宋体" w:cs="Times New Roman"/>
          <w:sz w:val="24"/>
          <w:szCs w:val="24"/>
          <w:highlight w:val="none"/>
          <w:shd w:val="clear" w:color="auto" w:fill="auto"/>
          <w:lang w:val="en-US" w:eastAsia="zh-CN"/>
        </w:rPr>
        <w:t>62500</w:t>
      </w:r>
      <w:r>
        <w:rPr>
          <w:rFonts w:hint="default" w:ascii="Times New Roman" w:hAnsi="Times New Roman" w:eastAsia="宋体" w:cs="Times New Roman"/>
          <w:sz w:val="24"/>
          <w:szCs w:val="24"/>
          <w:highlight w:val="none"/>
          <w:shd w:val="clear" w:color="auto" w:fill="auto"/>
          <w:lang w:eastAsia="zh-CN"/>
        </w:rPr>
        <w:t>立方米预拌商品混凝土。</w:t>
      </w:r>
    </w:p>
    <w:p>
      <w:pPr>
        <w:keepNext w:val="0"/>
        <w:keepLines w:val="0"/>
        <w:pageBreakBefore w:val="0"/>
        <w:tabs>
          <w:tab w:val="left" w:pos="360"/>
        </w:tabs>
        <w:kinsoku/>
        <w:wordWrap/>
        <w:overflowPunct/>
        <w:topLinePunct w:val="0"/>
        <w:autoSpaceDE/>
        <w:autoSpaceDN/>
        <w:bidi w:val="0"/>
        <w:spacing w:line="384" w:lineRule="auto"/>
        <w:ind w:firstLine="600" w:firstLineChars="25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（2）环保审批情况</w:t>
      </w:r>
    </w:p>
    <w:p>
      <w:pPr>
        <w:keepNext/>
        <w:keepLines/>
        <w:widowControl/>
        <w:topLinePunct/>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lang w:eastAsia="zh-CN"/>
        </w:rPr>
        <w:t>本项目属于未批先建，莘县环境保护局对其进行了相应处罚，2017年5月聊城宏达建筑工程有限公司委托深圳市环新环保技术有限公司编制了《聊城宏达建筑工程有限公司预拌商品混凝土生产项目环境影响报告表》，2017年7月12日莘县环境保护局以莘环报告表</w:t>
      </w:r>
      <w:r>
        <w:rPr>
          <w:rFonts w:hint="default" w:ascii="Times New Roman" w:hAnsi="Times New Roman" w:cs="Times New Roman"/>
          <w:color w:val="000000"/>
          <w:sz w:val="24"/>
          <w:highlight w:val="none"/>
          <w:lang w:val="en-US" w:eastAsia="zh-CN"/>
        </w:rPr>
        <w:t>〔2017〕</w:t>
      </w:r>
      <w:r>
        <w:rPr>
          <w:rFonts w:hint="default" w:ascii="Times New Roman" w:hAnsi="Times New Roman" w:cs="Times New Roman"/>
          <w:sz w:val="24"/>
          <w:szCs w:val="24"/>
          <w:lang w:eastAsia="zh-CN"/>
        </w:rPr>
        <w:t>33号对其进行了审批。</w:t>
      </w:r>
      <w:r>
        <w:rPr>
          <w:rFonts w:hint="default" w:ascii="Times New Roman" w:hAnsi="Times New Roman" w:cs="Times New Roman"/>
          <w:sz w:val="24"/>
          <w:szCs w:val="24"/>
        </w:rPr>
        <w:t xml:space="preserve"> </w:t>
      </w:r>
    </w:p>
    <w:p>
      <w:pPr>
        <w:keepNext w:val="0"/>
        <w:keepLines w:val="0"/>
        <w:pageBreakBefore w:val="0"/>
        <w:tabs>
          <w:tab w:val="left" w:pos="360"/>
        </w:tabs>
        <w:kinsoku/>
        <w:wordWrap/>
        <w:overflowPunct/>
        <w:topLinePunct w:val="0"/>
        <w:autoSpaceDE/>
        <w:autoSpaceDN/>
        <w:bidi w:val="0"/>
        <w:spacing w:line="384" w:lineRule="auto"/>
        <w:ind w:firstLine="480" w:firstLineChars="200"/>
        <w:jc w:val="left"/>
        <w:textAlignment w:val="auto"/>
        <w:rPr>
          <w:rFonts w:hint="default" w:ascii="Times New Roman" w:hAnsi="Times New Roman" w:eastAsia="宋体" w:cs="Times New Roman"/>
          <w:kern w:val="0"/>
          <w:sz w:val="24"/>
          <w:szCs w:val="24"/>
          <w:lang w:eastAsia="zh-CN" w:bidi="ar"/>
        </w:rPr>
      </w:pPr>
      <w:r>
        <w:rPr>
          <w:rFonts w:hint="default" w:ascii="Times New Roman" w:hAnsi="Times New Roman" w:cs="Times New Roman"/>
          <w:sz w:val="24"/>
          <w:szCs w:val="24"/>
        </w:rPr>
        <w:t>20</w:t>
      </w:r>
      <w:r>
        <w:rPr>
          <w:rFonts w:hint="default" w:ascii="Times New Roman" w:hAnsi="Times New Roman" w:cs="Times New Roman"/>
          <w:sz w:val="24"/>
          <w:szCs w:val="24"/>
          <w:lang w:val="en-US" w:eastAsia="zh-CN"/>
        </w:rPr>
        <w:t>18</w:t>
      </w:r>
      <w:r>
        <w:rPr>
          <w:rFonts w:hint="default" w:ascii="Times New Roman" w:hAnsi="Times New Roman" w:cs="Times New Roman"/>
          <w:sz w:val="24"/>
          <w:szCs w:val="24"/>
        </w:rPr>
        <w:t>年</w:t>
      </w:r>
      <w:r>
        <w:rPr>
          <w:rFonts w:hint="default" w:ascii="Times New Roman" w:hAnsi="Times New Roman" w:cs="Times New Roman"/>
          <w:sz w:val="24"/>
          <w:szCs w:val="24"/>
          <w:lang w:val="en-US" w:eastAsia="zh-CN"/>
        </w:rPr>
        <w:t>7</w:t>
      </w:r>
      <w:r>
        <w:rPr>
          <w:rFonts w:hint="default" w:ascii="Times New Roman" w:hAnsi="Times New Roman" w:cs="Times New Roman"/>
          <w:sz w:val="24"/>
          <w:szCs w:val="24"/>
        </w:rPr>
        <w:t>月份</w:t>
      </w:r>
      <w:r>
        <w:rPr>
          <w:rFonts w:hint="default" w:ascii="Times New Roman" w:hAnsi="Times New Roman" w:cs="Times New Roman"/>
          <w:sz w:val="24"/>
          <w:szCs w:val="24"/>
          <w:lang w:eastAsia="zh-CN"/>
        </w:rPr>
        <w:t>聊城宏达建筑工程有限公司</w:t>
      </w:r>
      <w:r>
        <w:rPr>
          <w:rFonts w:hint="default" w:ascii="Times New Roman" w:hAnsi="Times New Roman" w:cs="Times New Roman"/>
          <w:sz w:val="24"/>
          <w:szCs w:val="24"/>
        </w:rPr>
        <w:t>委托山东聊和环保科技有限公司进行该项目一期的环保验收监测工作，</w:t>
      </w:r>
      <w:r>
        <w:rPr>
          <w:rFonts w:hint="default" w:ascii="Times New Roman" w:hAnsi="Times New Roman" w:cs="Times New Roman"/>
          <w:sz w:val="24"/>
          <w:szCs w:val="24"/>
          <w:lang w:val="en-US" w:eastAsia="zh-CN"/>
        </w:rPr>
        <w:t>2018年8月4日一期验收通过，202</w:t>
      </w:r>
      <w:r>
        <w:rPr>
          <w:rFonts w:hint="eastAsia" w:cs="Times New Roman"/>
          <w:sz w:val="24"/>
          <w:szCs w:val="24"/>
          <w:lang w:val="en-US" w:eastAsia="zh-CN"/>
        </w:rPr>
        <w:t>2</w:t>
      </w:r>
      <w:r>
        <w:rPr>
          <w:rFonts w:hint="default" w:ascii="Times New Roman" w:hAnsi="Times New Roman" w:cs="Times New Roman"/>
          <w:sz w:val="24"/>
          <w:szCs w:val="24"/>
          <w:lang w:val="en-US" w:eastAsia="zh-CN"/>
        </w:rPr>
        <w:t>年</w:t>
      </w:r>
      <w:r>
        <w:rPr>
          <w:rFonts w:hint="eastAsia" w:cs="Times New Roman"/>
          <w:sz w:val="24"/>
          <w:szCs w:val="24"/>
          <w:lang w:val="en-US" w:eastAsia="zh-CN"/>
        </w:rPr>
        <w:t>5</w:t>
      </w:r>
      <w:r>
        <w:rPr>
          <w:rFonts w:hint="default" w:ascii="Times New Roman" w:hAnsi="Times New Roman" w:cs="Times New Roman"/>
          <w:sz w:val="24"/>
          <w:szCs w:val="24"/>
          <w:lang w:val="en-US" w:eastAsia="zh-CN"/>
        </w:rPr>
        <w:t>月</w:t>
      </w:r>
      <w:r>
        <w:rPr>
          <w:rFonts w:hint="default" w:ascii="Times New Roman" w:hAnsi="Times New Roman" w:eastAsia="宋体" w:cs="Times New Roman"/>
          <w:kern w:val="0"/>
          <w:sz w:val="24"/>
          <w:szCs w:val="24"/>
          <w:highlight w:val="none"/>
          <w:lang w:eastAsia="zh-CN" w:bidi="ar"/>
        </w:rPr>
        <w:t>公司</w:t>
      </w:r>
      <w:r>
        <w:rPr>
          <w:rFonts w:hint="default" w:ascii="Times New Roman" w:hAnsi="Times New Roman" w:eastAsia="宋体" w:cs="Times New Roman"/>
          <w:kern w:val="0"/>
          <w:sz w:val="24"/>
          <w:szCs w:val="24"/>
          <w:lang w:eastAsia="zh-CN" w:bidi="ar"/>
        </w:rPr>
        <w:t>委托山东绿和环保咨询有限公司进行二期项目的环保验收监测工作，接受委托后山东绿和环保咨询有限公司组织有关技术人员进行现场踏勘，依据监测技术规范制定了环保验收监测方案，并委托山东聊和环保科技有限公司</w:t>
      </w:r>
      <w:r>
        <w:rPr>
          <w:rFonts w:hint="default" w:ascii="Times New Roman" w:hAnsi="Times New Roman" w:eastAsia="宋体" w:cs="Times New Roman"/>
          <w:kern w:val="0"/>
          <w:sz w:val="24"/>
          <w:szCs w:val="24"/>
          <w:highlight w:val="none"/>
          <w:lang w:eastAsia="zh-CN" w:bidi="ar"/>
        </w:rPr>
        <w:t>于20</w:t>
      </w:r>
      <w:r>
        <w:rPr>
          <w:rFonts w:hint="default" w:ascii="Times New Roman" w:hAnsi="Times New Roman" w:eastAsia="宋体" w:cs="Times New Roman"/>
          <w:kern w:val="0"/>
          <w:sz w:val="24"/>
          <w:szCs w:val="24"/>
          <w:highlight w:val="none"/>
          <w:lang w:val="en-US" w:eastAsia="zh-CN" w:bidi="ar"/>
        </w:rPr>
        <w:t>22</w:t>
      </w:r>
      <w:r>
        <w:rPr>
          <w:rFonts w:hint="default" w:ascii="Times New Roman" w:hAnsi="Times New Roman" w:eastAsia="宋体" w:cs="Times New Roman"/>
          <w:kern w:val="0"/>
          <w:sz w:val="24"/>
          <w:szCs w:val="24"/>
          <w:highlight w:val="none"/>
          <w:lang w:eastAsia="zh-CN" w:bidi="ar"/>
        </w:rPr>
        <w:t>年</w:t>
      </w:r>
      <w:r>
        <w:rPr>
          <w:rFonts w:hint="default" w:ascii="Times New Roman" w:hAnsi="Times New Roman" w:eastAsia="宋体" w:cs="Times New Roman"/>
          <w:kern w:val="0"/>
          <w:sz w:val="24"/>
          <w:szCs w:val="24"/>
          <w:highlight w:val="none"/>
          <w:lang w:val="en-US" w:eastAsia="zh-CN" w:bidi="ar"/>
        </w:rPr>
        <w:t>5月16日-17日</w:t>
      </w:r>
      <w:r>
        <w:rPr>
          <w:rFonts w:hint="default" w:ascii="Times New Roman" w:hAnsi="Times New Roman" w:eastAsia="宋体" w:cs="Times New Roman"/>
          <w:color w:val="auto"/>
          <w:kern w:val="0"/>
          <w:sz w:val="24"/>
          <w:szCs w:val="24"/>
          <w:lang w:eastAsia="zh-CN" w:bidi="ar"/>
        </w:rPr>
        <w:t>对</w:t>
      </w:r>
      <w:r>
        <w:rPr>
          <w:rFonts w:hint="default" w:ascii="Times New Roman" w:hAnsi="Times New Roman" w:eastAsia="宋体" w:cs="Times New Roman"/>
          <w:kern w:val="0"/>
          <w:sz w:val="24"/>
          <w:szCs w:val="24"/>
          <w:lang w:eastAsia="zh-CN" w:bidi="ar"/>
        </w:rPr>
        <w:t>该企业进行了项目检测，根据验收监测结果和现场检查情况，山东绿和环保咨询有限公司编制了本项目验收监测报告</w:t>
      </w:r>
    </w:p>
    <w:p>
      <w:pPr>
        <w:keepNext w:val="0"/>
        <w:keepLines w:val="0"/>
        <w:pageBreakBefore w:val="0"/>
        <w:tabs>
          <w:tab w:val="left" w:pos="360"/>
        </w:tabs>
        <w:kinsoku/>
        <w:wordWrap/>
        <w:overflowPunct/>
        <w:topLinePunct w:val="0"/>
        <w:autoSpaceDE/>
        <w:autoSpaceDN/>
        <w:bidi w:val="0"/>
        <w:spacing w:line="384" w:lineRule="auto"/>
        <w:ind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（3）投资情况</w:t>
      </w:r>
    </w:p>
    <w:p>
      <w:pPr>
        <w:keepNext w:val="0"/>
        <w:keepLines w:val="0"/>
        <w:pageBreakBefore w:val="0"/>
        <w:tabs>
          <w:tab w:val="left" w:pos="360"/>
        </w:tabs>
        <w:kinsoku/>
        <w:wordWrap/>
        <w:overflowPunct/>
        <w:topLinePunct w:val="0"/>
        <w:autoSpaceDE/>
        <w:autoSpaceDN/>
        <w:bidi w:val="0"/>
        <w:spacing w:line="384" w:lineRule="auto"/>
        <w:ind w:firstLine="480" w:firstLineChars="200"/>
        <w:jc w:val="left"/>
        <w:textAlignment w:val="auto"/>
        <w:rPr>
          <w:rFonts w:hint="default" w:ascii="Times New Roman" w:hAnsi="Times New Roman" w:eastAsia="楷体" w:cs="Times New Roman"/>
          <w:color w:val="FF0000"/>
          <w:sz w:val="24"/>
        </w:rPr>
      </w:pPr>
      <w:r>
        <w:rPr>
          <w:rFonts w:hint="default" w:ascii="Times New Roman" w:hAnsi="Times New Roman" w:cs="Times New Roman" w:eastAsiaTheme="minorEastAsia"/>
          <w:sz w:val="24"/>
        </w:rPr>
        <w:t>项目</w:t>
      </w:r>
      <w:r>
        <w:rPr>
          <w:rFonts w:hint="eastAsia" w:cs="Times New Roman" w:eastAsiaTheme="minorEastAsia"/>
          <w:sz w:val="24"/>
          <w:lang w:eastAsia="zh-CN"/>
        </w:rPr>
        <w:t>二期</w:t>
      </w:r>
      <w:r>
        <w:rPr>
          <w:rFonts w:hint="default" w:ascii="Times New Roman" w:hAnsi="Times New Roman" w:cs="Times New Roman" w:eastAsiaTheme="minorEastAsia"/>
          <w:sz w:val="24"/>
        </w:rPr>
        <w:t>实际总投资</w:t>
      </w:r>
      <w:r>
        <w:rPr>
          <w:rFonts w:hint="eastAsia" w:cs="Times New Roman" w:eastAsiaTheme="minorEastAsia"/>
          <w:sz w:val="24"/>
          <w:lang w:val="en-US" w:eastAsia="zh-CN"/>
        </w:rPr>
        <w:t>430</w:t>
      </w:r>
      <w:r>
        <w:rPr>
          <w:rFonts w:hint="default" w:ascii="Times New Roman" w:hAnsi="Times New Roman" w:cs="Times New Roman" w:eastAsiaTheme="minorEastAsia"/>
          <w:sz w:val="24"/>
          <w:lang w:val="en-US" w:eastAsia="zh-CN"/>
        </w:rPr>
        <w:t xml:space="preserve">万元 </w:t>
      </w:r>
      <w:r>
        <w:rPr>
          <w:rFonts w:hint="default" w:ascii="Times New Roman" w:hAnsi="Times New Roman" w:cs="Times New Roman" w:eastAsiaTheme="minorEastAsia"/>
          <w:sz w:val="24"/>
        </w:rPr>
        <w:t>，其中环保投资</w:t>
      </w:r>
      <w:r>
        <w:rPr>
          <w:rFonts w:hint="eastAsia" w:cs="Times New Roman" w:eastAsiaTheme="minorEastAsia"/>
          <w:sz w:val="24"/>
          <w:lang w:val="en-US" w:eastAsia="zh-CN"/>
        </w:rPr>
        <w:t>32</w:t>
      </w:r>
      <w:r>
        <w:rPr>
          <w:rFonts w:hint="default" w:ascii="Times New Roman" w:hAnsi="Times New Roman" w:cs="Times New Roman" w:eastAsiaTheme="minorEastAsia"/>
          <w:sz w:val="24"/>
        </w:rPr>
        <w:t>万元，占总投资</w:t>
      </w:r>
      <w:r>
        <w:rPr>
          <w:rFonts w:hint="eastAsia" w:cs="Times New Roman" w:eastAsiaTheme="minorEastAsia"/>
          <w:sz w:val="24"/>
          <w:lang w:val="en-US" w:eastAsia="zh-CN"/>
        </w:rPr>
        <w:t>7.44</w:t>
      </w:r>
      <w:r>
        <w:rPr>
          <w:rFonts w:hint="default" w:ascii="Times New Roman" w:hAnsi="Times New Roman" w:cs="Times New Roman" w:eastAsiaTheme="minorEastAsia"/>
          <w:sz w:val="24"/>
        </w:rPr>
        <w:t>％</w:t>
      </w:r>
      <w:r>
        <w:rPr>
          <w:rFonts w:hint="default" w:ascii="Times New Roman" w:hAnsi="Times New Roman" w:eastAsia="楷体" w:cs="Times New Roman"/>
          <w:sz w:val="24"/>
        </w:rPr>
        <w:t>。</w:t>
      </w:r>
    </w:p>
    <w:p>
      <w:pPr>
        <w:keepNext w:val="0"/>
        <w:keepLines w:val="0"/>
        <w:pageBreakBefore w:val="0"/>
        <w:tabs>
          <w:tab w:val="left" w:pos="360"/>
        </w:tabs>
        <w:kinsoku/>
        <w:wordWrap/>
        <w:overflowPunct/>
        <w:topLinePunct w:val="0"/>
        <w:autoSpaceDE/>
        <w:autoSpaceDN/>
        <w:bidi w:val="0"/>
        <w:spacing w:line="384" w:lineRule="auto"/>
        <w:ind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（4）验收范围</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rPr>
          <w:rFonts w:hint="default" w:ascii="Times New Roman" w:hAnsi="Times New Roman" w:cs="Times New Roman"/>
          <w:sz w:val="24"/>
        </w:rPr>
      </w:pPr>
      <w:r>
        <w:rPr>
          <w:rFonts w:hint="default" w:ascii="Times New Roman" w:hAnsi="Times New Roman" w:cs="Times New Roman"/>
          <w:sz w:val="24"/>
        </w:rPr>
        <w:t>本次验收范围为</w:t>
      </w:r>
      <w:r>
        <w:rPr>
          <w:rFonts w:hint="eastAsia" w:cs="Times New Roman"/>
          <w:sz w:val="24"/>
          <w:lang w:eastAsia="zh-CN"/>
        </w:rPr>
        <w:t>聊城宏达建筑工程有限公司预拌商品混凝土生产项目（二期）</w:t>
      </w:r>
      <w:r>
        <w:rPr>
          <w:rFonts w:hint="default" w:ascii="Times New Roman" w:hAnsi="Times New Roman" w:cs="Times New Roman"/>
          <w:sz w:val="24"/>
        </w:rPr>
        <w:t>及其配套环保设施。</w:t>
      </w:r>
    </w:p>
    <w:p>
      <w:pPr>
        <w:keepNext w:val="0"/>
        <w:keepLines w:val="0"/>
        <w:pageBreakBefore w:val="0"/>
        <w:tabs>
          <w:tab w:val="left" w:pos="360"/>
        </w:tabs>
        <w:kinsoku/>
        <w:wordWrap/>
        <w:overflowPunct/>
        <w:topLinePunct w:val="0"/>
        <w:autoSpaceDE/>
        <w:autoSpaceDN/>
        <w:bidi w:val="0"/>
        <w:spacing w:line="360" w:lineRule="auto"/>
        <w:ind w:firstLine="560" w:firstLineChars="200"/>
        <w:jc w:val="left"/>
        <w:textAlignment w:val="auto"/>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二、工程变更情况</w:t>
      </w:r>
    </w:p>
    <w:p>
      <w:pPr>
        <w:pStyle w:val="2"/>
        <w:numPr>
          <w:ilvl w:val="0"/>
          <w:numId w:val="0"/>
        </w:numPr>
        <w:spacing w:line="360" w:lineRule="auto"/>
        <w:ind w:firstLine="480"/>
        <w:outlineLvl w:val="9"/>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通过现场调查，对照环评报告及审批意见，</w:t>
      </w:r>
    </w:p>
    <w:p>
      <w:pPr>
        <w:numPr>
          <w:ilvl w:val="0"/>
          <w:numId w:val="0"/>
        </w:numPr>
        <w:spacing w:line="360" w:lineRule="auto"/>
        <w:ind w:firstLine="480" w:firstLineChars="200"/>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（1）餐厅</w:t>
      </w:r>
    </w:p>
    <w:p>
      <w:pPr>
        <w:numPr>
          <w:ilvl w:val="0"/>
          <w:numId w:val="0"/>
        </w:numPr>
        <w:spacing w:line="360" w:lineRule="auto"/>
        <w:ind w:firstLine="480" w:firstLineChars="200"/>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经现场勘查，员工不在厂内食宿，无食堂油烟。</w:t>
      </w:r>
    </w:p>
    <w:p>
      <w:pPr>
        <w:numPr>
          <w:ilvl w:val="0"/>
          <w:numId w:val="0"/>
        </w:numPr>
        <w:spacing w:line="360" w:lineRule="auto"/>
        <w:ind w:firstLine="480" w:firstLineChars="200"/>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（2）生活废水</w:t>
      </w:r>
    </w:p>
    <w:p>
      <w:pPr>
        <w:numPr>
          <w:ilvl w:val="0"/>
          <w:numId w:val="0"/>
        </w:numPr>
        <w:spacing w:line="360" w:lineRule="auto"/>
        <w:ind w:firstLine="480" w:firstLineChars="200"/>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一期项目验收中对于生活污水，环评中生活污水收集后排入厂区内旱厕处理后，由环卫部门清运；环评批复中生活废水经化粪池预处理后通过地埋式污水处理设备处理，处理后回用于厂区绿化、冲厕，实际厕所废水经旱厕收集后外运堆肥，洗手等生活废水收集后用于厂区洒水降尘，不外排，由于员工人数较少，不在厂内食宿，废水产生量较少，污水处理设备无法正常运行，故未上污水处理设备，生活废水厂区洒水降尘及经旱厕收集后外运堆肥，二期不新增劳动定员，生活废水排放情况未发生变动。</w:t>
      </w:r>
    </w:p>
    <w:p>
      <w:pPr>
        <w:numPr>
          <w:ilvl w:val="0"/>
          <w:numId w:val="0"/>
        </w:numPr>
        <w:spacing w:line="360" w:lineRule="auto"/>
        <w:ind w:firstLine="480" w:firstLineChars="200"/>
        <w:rPr>
          <w:rFonts w:hint="default" w:ascii="Times New Roman" w:hAnsi="Times New Roman" w:eastAsia="宋体" w:cs="Times New Roman"/>
          <w:b w:val="0"/>
          <w:bCs w:val="0"/>
          <w:color w:val="auto"/>
          <w:kern w:val="2"/>
          <w:sz w:val="24"/>
          <w:szCs w:val="24"/>
          <w:highlight w:val="none"/>
          <w:lang w:val="en-US" w:eastAsia="zh-CN" w:bidi="ar-SA"/>
        </w:rPr>
      </w:pPr>
      <w:r>
        <w:rPr>
          <w:rFonts w:hint="eastAsia" w:ascii="Times New Roman" w:hAnsi="Times New Roman" w:eastAsia="宋体" w:cs="Times New Roman"/>
          <w:b w:val="0"/>
          <w:bCs w:val="0"/>
          <w:color w:val="auto"/>
          <w:kern w:val="2"/>
          <w:sz w:val="24"/>
          <w:szCs w:val="24"/>
          <w:highlight w:val="none"/>
          <w:lang w:val="en-US" w:eastAsia="zh-CN" w:bidi="ar-SA"/>
        </w:rPr>
        <w:t>（3）</w:t>
      </w:r>
      <w:r>
        <w:rPr>
          <w:rFonts w:hint="default" w:ascii="Times New Roman" w:hAnsi="Times New Roman" w:eastAsia="宋体" w:cs="Times New Roman"/>
          <w:b w:val="0"/>
          <w:bCs w:val="0"/>
          <w:color w:val="auto"/>
          <w:kern w:val="2"/>
          <w:sz w:val="24"/>
          <w:szCs w:val="24"/>
          <w:highlight w:val="none"/>
          <w:lang w:val="en-US" w:eastAsia="zh-CN" w:bidi="ar-SA"/>
        </w:rPr>
        <w:t>设备</w:t>
      </w:r>
    </w:p>
    <w:p>
      <w:pPr>
        <w:numPr>
          <w:ilvl w:val="0"/>
          <w:numId w:val="0"/>
        </w:numPr>
        <w:spacing w:line="360" w:lineRule="auto"/>
        <w:ind w:firstLine="480" w:firstLineChars="200"/>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环评中设备27台（套），目前设备20台（套），部分设备未上齐全，项目分期验收，不属于重大变更。</w:t>
      </w:r>
    </w:p>
    <w:p>
      <w:pPr>
        <w:pStyle w:val="21"/>
        <w:keepNext w:val="0"/>
        <w:keepLines w:val="0"/>
        <w:pageBreakBefore w:val="0"/>
        <w:kinsoku/>
        <w:wordWrap/>
        <w:overflowPunct/>
        <w:topLinePunct w:val="0"/>
        <w:autoSpaceDE/>
        <w:autoSpaceDN/>
        <w:bidi w:val="0"/>
        <w:spacing w:line="360" w:lineRule="auto"/>
        <w:ind w:firstLine="560"/>
        <w:jc w:val="left"/>
        <w:textAlignment w:val="auto"/>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根据《关于印发污染影响类建设项目重大变动清单（试行）》的通知环办环评函[2020]688号，项目以上变动不涉及重大变更。生产性质、生产地点、生产规模、生产工艺流程及环保设施均无明显变动，故本项目工程无重大变动。</w:t>
      </w:r>
    </w:p>
    <w:p>
      <w:pPr>
        <w:pStyle w:val="21"/>
        <w:keepNext w:val="0"/>
        <w:keepLines w:val="0"/>
        <w:pageBreakBefore w:val="0"/>
        <w:kinsoku/>
        <w:wordWrap/>
        <w:overflowPunct/>
        <w:topLinePunct w:val="0"/>
        <w:autoSpaceDE/>
        <w:autoSpaceDN/>
        <w:bidi w:val="0"/>
        <w:spacing w:line="360" w:lineRule="auto"/>
        <w:ind w:firstLine="560"/>
        <w:jc w:val="left"/>
        <w:textAlignment w:val="auto"/>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三、环境保护设施落实情况</w:t>
      </w:r>
    </w:p>
    <w:p>
      <w:pPr>
        <w:pStyle w:val="21"/>
        <w:keepNext w:val="0"/>
        <w:keepLines w:val="0"/>
        <w:pageBreakBefore w:val="0"/>
        <w:kinsoku/>
        <w:wordWrap/>
        <w:overflowPunct/>
        <w:topLinePunct w:val="0"/>
        <w:autoSpaceDE/>
        <w:autoSpaceDN/>
        <w:bidi w:val="0"/>
        <w:spacing w:line="360" w:lineRule="auto"/>
        <w:ind w:firstLine="480"/>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（1）废水污染源及其治理措施</w:t>
      </w:r>
    </w:p>
    <w:p>
      <w:pPr>
        <w:widowControl/>
        <w:spacing w:line="360" w:lineRule="auto"/>
        <w:ind w:firstLine="480" w:firstLineChars="200"/>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项目废水主要为进出厂车辆冲洗废水、混凝土运输车冲洗废水、搅拌机冲洗废水和职工生活污水。对于进出厂车辆冲洗废水，建设单位设置沉砂池，经沉淀后回用于进出厂车辆冲洗；混凝土运输车冲洗废水、搅拌机冲洗废水经沉淀后回用于生产，确保不外排；对于生活污水，厕所废水经旱厕收集后定期清掏堆肥，洗手等其他生活废水收集后用于厂区洒水降尘。</w:t>
      </w:r>
    </w:p>
    <w:p>
      <w:pPr>
        <w:keepNext w:val="0"/>
        <w:keepLines w:val="0"/>
        <w:pageBreakBefore w:val="0"/>
        <w:kinsoku/>
        <w:wordWrap/>
        <w:overflowPunct/>
        <w:topLinePunct w:val="0"/>
        <w:autoSpaceDE/>
        <w:autoSpaceDN/>
        <w:bidi w:val="0"/>
        <w:adjustRightInd w:val="0"/>
        <w:spacing w:line="360" w:lineRule="auto"/>
        <w:ind w:left="479" w:leftChars="228" w:firstLine="0" w:firstLineChars="0"/>
        <w:textAlignment w:val="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（2）废气污染源及其治理措施</w:t>
      </w:r>
    </w:p>
    <w:p>
      <w:pPr>
        <w:widowControl/>
        <w:spacing w:line="360" w:lineRule="auto"/>
        <w:ind w:firstLine="480" w:firstLineChars="20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本项目废气为水泥筒仓、上料过程产生的粉尘、搅拌粉尘、物料转运粉尘、汽车动力起尘、卸料起尘、物料储存粉尘。</w:t>
      </w:r>
    </w:p>
    <w:p>
      <w:pPr>
        <w:widowControl/>
        <w:spacing w:line="360" w:lineRule="auto"/>
        <w:ind w:firstLine="480" w:firstLineChars="20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上料粉尘：HLS180商混线上料粉尘经集气罩收集后</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lang w:val="en-US" w:eastAsia="zh-CN"/>
        </w:rPr>
        <w:t>经1套袋式除尘器处理后由15米高排气筒P1排放；HLS120商混线上料粉尘经集气罩收集后经1套袋式除尘器处理后由15米高排气筒P2排放。</w:t>
      </w:r>
    </w:p>
    <w:p>
      <w:pPr>
        <w:widowControl/>
        <w:spacing w:line="360" w:lineRule="auto"/>
        <w:ind w:firstLine="480" w:firstLineChars="20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搅拌粉尘：商混线落料及搅拌粉尘收集后经自带脉冲袋式除尘器处理后封闭车间内无组织排放；</w:t>
      </w:r>
    </w:p>
    <w:p>
      <w:pPr>
        <w:widowControl/>
        <w:spacing w:line="360" w:lineRule="auto"/>
        <w:ind w:firstLine="480" w:firstLineChars="20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筒仓粉尘：水泥筒仓、矿粉筒仓、粉煤灰筒仓分别经自带除尘器处理后于封闭车间无组织排放。</w:t>
      </w:r>
    </w:p>
    <w:p>
      <w:pPr>
        <w:widowControl/>
        <w:spacing w:line="360" w:lineRule="auto"/>
        <w:ind w:firstLine="480" w:firstLineChars="20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卸料、物料转运粉尘：卸料起尘、物料储存粉尘通过喷淋、封闭车间无组织排放。</w:t>
      </w:r>
    </w:p>
    <w:p>
      <w:pPr>
        <w:widowControl/>
        <w:spacing w:line="360" w:lineRule="auto"/>
        <w:ind w:firstLine="480" w:firstLineChars="200"/>
        <w:rPr>
          <w:rFonts w:hint="default" w:ascii="Times New Roman" w:hAnsi="Times New Roman" w:eastAsia="宋体" w:cs="Times New Roman"/>
          <w:bCs/>
          <w:sz w:val="24"/>
          <w:szCs w:val="24"/>
          <w:lang w:val="en-US" w:eastAsia="zh-CN"/>
        </w:rPr>
      </w:pPr>
      <w:r>
        <w:rPr>
          <w:rFonts w:hint="default" w:ascii="Times New Roman" w:hAnsi="Times New Roman" w:cs="Times New Roman"/>
          <w:sz w:val="24"/>
          <w:szCs w:val="24"/>
          <w:lang w:val="en-US" w:eastAsia="zh-CN"/>
        </w:rPr>
        <w:t>汽车动力起尘：汽车动力起尘通过进出厂车辆清洗、道路定期洒水等措施以无组织形式排放。</w:t>
      </w:r>
    </w:p>
    <w:p>
      <w:pPr>
        <w:keepNext w:val="0"/>
        <w:keepLines w:val="0"/>
        <w:pageBreakBefore w:val="0"/>
        <w:widowControl/>
        <w:kinsoku/>
        <w:wordWrap/>
        <w:overflowPunct/>
        <w:topLinePunct w:val="0"/>
        <w:autoSpaceDE/>
        <w:autoSpaceDN/>
        <w:bidi w:val="0"/>
        <w:spacing w:line="384" w:lineRule="auto"/>
        <w:ind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（3）噪声</w:t>
      </w:r>
    </w:p>
    <w:p>
      <w:pPr>
        <w:adjustRightInd w:val="0"/>
        <w:spacing w:line="360" w:lineRule="auto"/>
        <w:ind w:firstLine="464" w:firstLineChars="200"/>
        <w:rPr>
          <w:rFonts w:hint="default" w:ascii="Times New Roman" w:hAnsi="Times New Roman" w:eastAsia="宋体" w:cs="Times New Roman"/>
          <w:sz w:val="24"/>
          <w:szCs w:val="24"/>
        </w:rPr>
      </w:pPr>
      <w:r>
        <w:rPr>
          <w:rFonts w:hint="default" w:ascii="Times New Roman" w:hAnsi="Times New Roman" w:eastAsia="宋体" w:cs="Times New Roman"/>
          <w:spacing w:val="-4"/>
          <w:sz w:val="24"/>
          <w:szCs w:val="24"/>
          <w:lang w:val="en-US" w:eastAsia="zh-CN"/>
        </w:rPr>
        <w:t>本项目噪声主要</w:t>
      </w:r>
      <w:r>
        <w:rPr>
          <w:rFonts w:hint="default" w:ascii="Times New Roman" w:hAnsi="Times New Roman" w:cs="Times New Roman"/>
          <w:sz w:val="24"/>
        </w:rPr>
        <w:t>为</w:t>
      </w:r>
      <w:r>
        <w:rPr>
          <w:rFonts w:hint="default" w:ascii="Times New Roman" w:hAnsi="Times New Roman" w:cs="Times New Roman"/>
          <w:sz w:val="24"/>
          <w:lang w:eastAsia="zh-CN"/>
        </w:rPr>
        <w:t>搅拌机</w:t>
      </w:r>
      <w:r>
        <w:rPr>
          <w:rFonts w:hint="default" w:ascii="Times New Roman" w:hAnsi="Times New Roman" w:cs="Times New Roman"/>
          <w:color w:val="000000"/>
          <w:sz w:val="24"/>
          <w:highlight w:val="none"/>
        </w:rPr>
        <w:t>等</w:t>
      </w:r>
      <w:r>
        <w:rPr>
          <w:rFonts w:hint="default" w:ascii="Times New Roman" w:hAnsi="Times New Roman" w:cs="Times New Roman"/>
          <w:color w:val="000000"/>
          <w:sz w:val="24"/>
          <w:highlight w:val="none"/>
          <w:lang w:eastAsia="zh-CN"/>
        </w:rPr>
        <w:t>机械</w:t>
      </w:r>
      <w:r>
        <w:rPr>
          <w:rFonts w:hint="default" w:ascii="Times New Roman" w:hAnsi="Times New Roman" w:cs="Times New Roman"/>
          <w:color w:val="000000"/>
          <w:sz w:val="24"/>
          <w:highlight w:val="none"/>
        </w:rPr>
        <w:t>设备</w:t>
      </w:r>
      <w:r>
        <w:rPr>
          <w:rFonts w:hint="default" w:ascii="Times New Roman" w:hAnsi="Times New Roman" w:eastAsia="宋体" w:cs="Times New Roman"/>
          <w:spacing w:val="-4"/>
          <w:sz w:val="24"/>
          <w:szCs w:val="24"/>
          <w:lang w:val="en-US" w:eastAsia="zh-CN"/>
        </w:rPr>
        <w:t>运行时产生的噪声，通过采取车间隔声、基础减振、距离衰减等措施，</w:t>
      </w:r>
      <w:r>
        <w:rPr>
          <w:rFonts w:hint="default" w:ascii="Times New Roman" w:hAnsi="Times New Roman" w:eastAsia="宋体" w:cs="Times New Roman"/>
          <w:sz w:val="24"/>
          <w:szCs w:val="24"/>
        </w:rPr>
        <w:t>降低对外环境的影响。</w:t>
      </w:r>
    </w:p>
    <w:p>
      <w:pPr>
        <w:keepNext w:val="0"/>
        <w:keepLines w:val="0"/>
        <w:pageBreakBefore w:val="0"/>
        <w:kinsoku/>
        <w:wordWrap/>
        <w:overflowPunct/>
        <w:topLinePunct w:val="0"/>
        <w:autoSpaceDE/>
        <w:autoSpaceDN/>
        <w:bidi w:val="0"/>
        <w:spacing w:line="384" w:lineRule="auto"/>
        <w:ind w:firstLine="480" w:firstLineChars="20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（4）固体废物</w:t>
      </w:r>
    </w:p>
    <w:p>
      <w:pPr>
        <w:adjustRightInd w:val="0"/>
        <w:spacing w:line="360" w:lineRule="auto"/>
        <w:ind w:firstLine="464" w:firstLineChars="200"/>
        <w:rPr>
          <w:rFonts w:hint="default" w:ascii="Times New Roman" w:hAnsi="Times New Roman" w:eastAsia="宋体" w:cs="Times New Roman"/>
          <w:spacing w:val="-4"/>
          <w:sz w:val="24"/>
          <w:szCs w:val="24"/>
          <w:lang w:val="en-US" w:eastAsia="zh-CN"/>
        </w:rPr>
      </w:pPr>
      <w:r>
        <w:rPr>
          <w:rFonts w:hint="default" w:ascii="Times New Roman" w:hAnsi="Times New Roman" w:eastAsia="宋体" w:cs="Times New Roman"/>
          <w:spacing w:val="-4"/>
          <w:sz w:val="24"/>
          <w:szCs w:val="24"/>
          <w:lang w:val="en-US" w:eastAsia="zh-CN"/>
        </w:rPr>
        <w:t>项目的固体废物主要包括：沉砂池沉渣；除尘设备回收粉尘；生活垃圾。</w:t>
      </w:r>
    </w:p>
    <w:p>
      <w:pPr>
        <w:adjustRightInd w:val="0"/>
        <w:spacing w:line="360" w:lineRule="auto"/>
        <w:ind w:firstLine="464" w:firstLineChars="200"/>
        <w:rPr>
          <w:rFonts w:hint="default" w:ascii="Times New Roman" w:hAnsi="Times New Roman" w:eastAsia="宋体" w:cs="Times New Roman"/>
          <w:spacing w:val="-4"/>
          <w:sz w:val="24"/>
          <w:szCs w:val="24"/>
          <w:lang w:val="en-US" w:eastAsia="zh-CN"/>
        </w:rPr>
      </w:pPr>
      <w:r>
        <w:rPr>
          <w:rFonts w:hint="default" w:ascii="Times New Roman" w:hAnsi="Times New Roman" w:eastAsia="宋体" w:cs="Times New Roman"/>
          <w:spacing w:val="-4"/>
          <w:sz w:val="24"/>
          <w:szCs w:val="24"/>
          <w:lang w:val="en-US" w:eastAsia="zh-CN"/>
        </w:rPr>
        <w:t>沉砂池沉渣、除尘设备回收粉尘，企业定期清理回收利用；生活垃圾统一存放于带盖的垃圾箱内，由环卫部门定期清运。</w:t>
      </w:r>
    </w:p>
    <w:p>
      <w:pPr>
        <w:keepNext w:val="0"/>
        <w:keepLines w:val="0"/>
        <w:pageBreakBefore w:val="0"/>
        <w:kinsoku/>
        <w:wordWrap/>
        <w:overflowPunct/>
        <w:topLinePunct w:val="0"/>
        <w:autoSpaceDE/>
        <w:autoSpaceDN/>
        <w:bidi w:val="0"/>
        <w:snapToGrid w:val="0"/>
        <w:spacing w:line="360" w:lineRule="auto"/>
        <w:ind w:firstLine="560" w:firstLineChars="200"/>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四、验收监测结果</w:t>
      </w:r>
    </w:p>
    <w:p>
      <w:pPr>
        <w:keepNext w:val="0"/>
        <w:keepLines w:val="0"/>
        <w:pageBreakBefore w:val="0"/>
        <w:kinsoku/>
        <w:wordWrap/>
        <w:overflowPunct/>
        <w:topLinePunct w:val="0"/>
        <w:autoSpaceDE/>
        <w:autoSpaceDN/>
        <w:bidi w:val="0"/>
        <w:spacing w:line="360" w:lineRule="auto"/>
        <w:ind w:firstLine="360" w:firstLineChars="15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（1）环保设施运行检测结果</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山东绿和环保咨询有限公司出具的《</w:t>
      </w:r>
      <w:r>
        <w:rPr>
          <w:rFonts w:hint="eastAsia" w:cs="Times New Roman"/>
          <w:sz w:val="24"/>
          <w:lang w:eastAsia="zh-CN"/>
        </w:rPr>
        <w:t>聊城宏达建筑工程有限公司预拌商品混凝土生产项目（二期）</w:t>
      </w:r>
      <w:r>
        <w:rPr>
          <w:rFonts w:hint="default" w:ascii="Times New Roman" w:hAnsi="Times New Roman" w:cs="Times New Roman" w:eastAsiaTheme="majorEastAsia"/>
          <w:sz w:val="24"/>
        </w:rPr>
        <w:t>竣工环境保护验收</w:t>
      </w:r>
      <w:r>
        <w:rPr>
          <w:rFonts w:hint="eastAsia" w:cs="Times New Roman" w:eastAsiaTheme="majorEastAsia"/>
          <w:sz w:val="24"/>
          <w:lang w:eastAsia="zh-CN"/>
        </w:rPr>
        <w:t>监</w:t>
      </w:r>
      <w:r>
        <w:rPr>
          <w:rFonts w:hint="default" w:ascii="Times New Roman" w:hAnsi="Times New Roman" w:cs="Times New Roman" w:eastAsiaTheme="majorEastAsia"/>
          <w:sz w:val="24"/>
        </w:rPr>
        <w:t>测报告》</w:t>
      </w:r>
      <w:r>
        <w:rPr>
          <w:rFonts w:hint="default" w:ascii="Times New Roman" w:hAnsi="Times New Roman" w:cs="Times New Roman" w:eastAsiaTheme="majorEastAsia"/>
          <w:sz w:val="24"/>
          <w:lang w:eastAsia="zh-CN"/>
        </w:rPr>
        <w:t>检</w:t>
      </w:r>
      <w:r>
        <w:rPr>
          <w:rFonts w:hint="default" w:ascii="Times New Roman" w:hAnsi="Times New Roman" w:cs="Times New Roman" w:eastAsiaTheme="majorEastAsia"/>
          <w:sz w:val="24"/>
        </w:rPr>
        <w:t>测结果表明：</w:t>
      </w:r>
    </w:p>
    <w:p>
      <w:pPr>
        <w:keepNext w:val="0"/>
        <w:keepLines w:val="0"/>
        <w:pageBreakBefore w:val="0"/>
        <w:kinsoku/>
        <w:wordWrap/>
        <w:overflowPunct/>
        <w:topLinePunct w:val="0"/>
        <w:autoSpaceDE/>
        <w:autoSpaceDN/>
        <w:bidi w:val="0"/>
        <w:spacing w:line="360" w:lineRule="auto"/>
        <w:ind w:firstLine="600" w:firstLineChars="250"/>
        <w:jc w:val="left"/>
        <w:textAlignment w:val="auto"/>
        <w:rPr>
          <w:rFonts w:hint="eastAsia" w:cs="Times New Roman" w:eastAsiaTheme="majorEastAsia"/>
          <w:sz w:val="24"/>
          <w:lang w:eastAsia="zh-CN"/>
        </w:rPr>
      </w:pPr>
      <w:r>
        <w:rPr>
          <w:rFonts w:hint="default" w:ascii="Times New Roman" w:hAnsi="Times New Roman" w:cs="Times New Roman" w:eastAsiaTheme="majorEastAsia"/>
          <w:sz w:val="24"/>
        </w:rPr>
        <w:t>①</w:t>
      </w:r>
      <w:r>
        <w:rPr>
          <w:rFonts w:hint="eastAsia" w:cs="Times New Roman" w:eastAsiaTheme="majorEastAsia"/>
          <w:sz w:val="24"/>
          <w:lang w:eastAsia="zh-CN"/>
        </w:rPr>
        <w:t>废气</w:t>
      </w:r>
    </w:p>
    <w:p>
      <w:pPr>
        <w:pStyle w:val="2"/>
        <w:spacing w:line="360" w:lineRule="auto"/>
        <w:ind w:firstLine="482"/>
        <w:jc w:val="both"/>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验</w:t>
      </w:r>
      <w:r>
        <w:rPr>
          <w:rFonts w:hint="default" w:ascii="Times New Roman" w:hAnsi="Times New Roman" w:eastAsia="宋体" w:cs="Times New Roman"/>
          <w:bCs/>
          <w:color w:val="auto"/>
          <w:sz w:val="24"/>
          <w:szCs w:val="24"/>
          <w:highlight w:val="none"/>
        </w:rPr>
        <w:t>收监测期间，HLS120搅拌楼</w:t>
      </w:r>
      <w:r>
        <w:rPr>
          <w:rFonts w:hint="eastAsia" w:ascii="Times New Roman" w:hAnsi="Times New Roman" w:eastAsia="宋体" w:cs="Times New Roman"/>
          <w:bCs/>
          <w:color w:val="auto"/>
          <w:sz w:val="24"/>
          <w:szCs w:val="24"/>
          <w:highlight w:val="none"/>
          <w:lang w:eastAsia="zh-CN"/>
        </w:rPr>
        <w:t>除尘器</w:t>
      </w:r>
      <w:r>
        <w:rPr>
          <w:rFonts w:hint="default" w:ascii="Times New Roman" w:hAnsi="Times New Roman" w:eastAsia="宋体" w:cs="Times New Roman"/>
          <w:bCs/>
          <w:color w:val="auto"/>
          <w:sz w:val="24"/>
          <w:szCs w:val="24"/>
          <w:highlight w:val="none"/>
        </w:rPr>
        <w:t>排气筒</w:t>
      </w:r>
      <w:r>
        <w:rPr>
          <w:rFonts w:hint="eastAsia" w:ascii="Times New Roman" w:hAnsi="Times New Roman" w:eastAsia="宋体" w:cs="Times New Roman"/>
          <w:bCs/>
          <w:color w:val="auto"/>
          <w:sz w:val="24"/>
          <w:szCs w:val="24"/>
          <w:highlight w:val="none"/>
          <w:lang w:eastAsia="zh-CN"/>
        </w:rPr>
        <w:t>出口</w:t>
      </w:r>
      <w:r>
        <w:rPr>
          <w:rFonts w:hint="eastAsia" w:ascii="Times New Roman" w:hAnsi="Times New Roman" w:cs="Times New Roman"/>
          <w:color w:val="auto"/>
          <w:sz w:val="24"/>
          <w:szCs w:val="24"/>
          <w:highlight w:val="none"/>
          <w:lang w:val="en-US" w:eastAsia="zh-CN"/>
        </w:rPr>
        <w:t>有组织颗粒物</w:t>
      </w:r>
      <w:r>
        <w:rPr>
          <w:rFonts w:hint="default" w:ascii="Times New Roman" w:hAnsi="Times New Roman" w:eastAsia="宋体" w:cs="Times New Roman"/>
          <w:bCs/>
          <w:color w:val="auto"/>
          <w:sz w:val="24"/>
          <w:szCs w:val="24"/>
          <w:highlight w:val="none"/>
        </w:rPr>
        <w:t>最高排放浓度</w:t>
      </w:r>
      <w:r>
        <w:rPr>
          <w:rFonts w:hint="default" w:ascii="Times New Roman" w:hAnsi="Times New Roman" w:eastAsia="宋体" w:cs="Times New Roman"/>
          <w:bCs/>
          <w:color w:val="auto"/>
          <w:sz w:val="24"/>
          <w:szCs w:val="24"/>
          <w:highlight w:val="none"/>
          <w:lang w:eastAsia="zh-CN"/>
        </w:rPr>
        <w:t>为</w:t>
      </w:r>
      <w:r>
        <w:rPr>
          <w:rFonts w:hint="eastAsia" w:ascii="Times New Roman" w:hAnsi="Times New Roman" w:eastAsia="宋体" w:cs="Times New Roman"/>
          <w:bCs/>
          <w:color w:val="auto"/>
          <w:sz w:val="24"/>
          <w:szCs w:val="24"/>
          <w:highlight w:val="none"/>
          <w:lang w:val="en-US" w:eastAsia="zh-CN"/>
        </w:rPr>
        <w:t>1.8</w:t>
      </w:r>
      <w:r>
        <w:rPr>
          <w:rFonts w:hint="default" w:ascii="Times New Roman" w:hAnsi="Times New Roman" w:eastAsia="宋体" w:cs="Times New Roman"/>
          <w:bCs/>
          <w:color w:val="auto"/>
          <w:sz w:val="24"/>
          <w:szCs w:val="24"/>
          <w:highlight w:val="none"/>
        </w:rPr>
        <w:t>mg/m</w:t>
      </w:r>
      <w:r>
        <w:rPr>
          <w:rFonts w:hint="default" w:ascii="Times New Roman" w:hAnsi="Times New Roman" w:eastAsia="宋体" w:cs="Times New Roman"/>
          <w:bCs/>
          <w:color w:val="auto"/>
          <w:sz w:val="24"/>
          <w:szCs w:val="24"/>
          <w:highlight w:val="none"/>
          <w:vertAlign w:val="superscript"/>
        </w:rPr>
        <w:t>3</w:t>
      </w:r>
      <w:r>
        <w:rPr>
          <w:rFonts w:hint="default" w:ascii="Times New Roman" w:hAnsi="Times New Roman" w:eastAsia="宋体" w:cs="Times New Roman"/>
          <w:bCs/>
          <w:color w:val="auto"/>
          <w:sz w:val="24"/>
          <w:szCs w:val="24"/>
          <w:highlight w:val="none"/>
        </w:rPr>
        <w:t>，排放速率最高为</w:t>
      </w:r>
      <w:r>
        <w:rPr>
          <w:rFonts w:hint="eastAsia" w:ascii="Times New Roman" w:hAnsi="Times New Roman" w:eastAsia="宋体" w:cs="Times New Roman"/>
          <w:bCs/>
          <w:color w:val="auto"/>
          <w:sz w:val="24"/>
          <w:szCs w:val="24"/>
          <w:highlight w:val="none"/>
          <w:lang w:val="en-US" w:eastAsia="zh-CN"/>
        </w:rPr>
        <w:t>0.025</w:t>
      </w:r>
      <w:r>
        <w:rPr>
          <w:rFonts w:hint="default" w:ascii="Times New Roman" w:hAnsi="Times New Roman" w:eastAsia="宋体" w:cs="Times New Roman"/>
          <w:bCs/>
          <w:color w:val="auto"/>
          <w:sz w:val="24"/>
          <w:szCs w:val="24"/>
          <w:highlight w:val="none"/>
        </w:rPr>
        <w:t>kg/h</w:t>
      </w:r>
      <w:r>
        <w:rPr>
          <w:rFonts w:hint="eastAsia" w:ascii="Times New Roman" w:hAnsi="Times New Roman" w:eastAsia="宋体" w:cs="Times New Roman"/>
          <w:bCs/>
          <w:color w:val="auto"/>
          <w:sz w:val="24"/>
          <w:szCs w:val="24"/>
          <w:highlight w:val="none"/>
          <w:lang w:eastAsia="zh-CN"/>
        </w:rPr>
        <w:t>，HLS1</w:t>
      </w:r>
      <w:r>
        <w:rPr>
          <w:rFonts w:hint="eastAsia" w:ascii="Times New Roman" w:hAnsi="Times New Roman" w:eastAsia="宋体" w:cs="Times New Roman"/>
          <w:bCs/>
          <w:color w:val="auto"/>
          <w:sz w:val="24"/>
          <w:szCs w:val="24"/>
          <w:highlight w:val="none"/>
          <w:lang w:val="en-US" w:eastAsia="zh-CN"/>
        </w:rPr>
        <w:t>8</w:t>
      </w:r>
      <w:r>
        <w:rPr>
          <w:rFonts w:hint="eastAsia" w:ascii="Times New Roman" w:hAnsi="Times New Roman" w:eastAsia="宋体" w:cs="Times New Roman"/>
          <w:bCs/>
          <w:color w:val="auto"/>
          <w:sz w:val="24"/>
          <w:szCs w:val="24"/>
          <w:highlight w:val="none"/>
          <w:lang w:eastAsia="zh-CN"/>
        </w:rPr>
        <w:t>0搅拌楼除尘器排气筒出口有组织颗粒物最高排放浓度为1.8mg/m</w:t>
      </w:r>
      <w:r>
        <w:rPr>
          <w:rFonts w:hint="eastAsia" w:ascii="Times New Roman" w:hAnsi="Times New Roman" w:eastAsia="宋体" w:cs="Times New Roman"/>
          <w:bCs/>
          <w:color w:val="auto"/>
          <w:sz w:val="24"/>
          <w:szCs w:val="24"/>
          <w:highlight w:val="none"/>
          <w:vertAlign w:val="superscript"/>
          <w:lang w:eastAsia="zh-CN"/>
        </w:rPr>
        <w:t>3</w:t>
      </w:r>
      <w:r>
        <w:rPr>
          <w:rFonts w:hint="eastAsia" w:ascii="Times New Roman" w:hAnsi="Times New Roman" w:eastAsia="宋体" w:cs="Times New Roman"/>
          <w:bCs/>
          <w:color w:val="auto"/>
          <w:sz w:val="24"/>
          <w:szCs w:val="24"/>
          <w:highlight w:val="none"/>
          <w:lang w:eastAsia="zh-CN"/>
        </w:rPr>
        <w:t>，排放速率最高为0.025kg/h，均</w:t>
      </w:r>
      <w:r>
        <w:rPr>
          <w:rFonts w:hint="eastAsia" w:ascii="Times New Roman" w:hAnsi="Times New Roman" w:cs="Times New Roman"/>
          <w:color w:val="auto"/>
          <w:sz w:val="24"/>
          <w:szCs w:val="24"/>
          <w:highlight w:val="none"/>
          <w:lang w:val="en-US" w:eastAsia="zh-CN"/>
        </w:rPr>
        <w:t>满足《区域性大气污染物综合排放标准》（DB37/2376-2019）中表1“重点控制区”及《大气污染物综合排放标准》（GB16297-1996）表2中相关限值要求</w:t>
      </w:r>
      <w:r>
        <w:rPr>
          <w:rFonts w:hint="default" w:ascii="Times New Roman" w:hAnsi="Times New Roman" w:eastAsia="宋体" w:cs="Times New Roman"/>
          <w:color w:val="auto"/>
          <w:sz w:val="24"/>
          <w:szCs w:val="24"/>
          <w:highlight w:val="none"/>
          <w:lang w:eastAsia="zh-CN"/>
        </w:rPr>
        <w:t>。无组织颗粒物小时浓度最高为0.372mg/m</w:t>
      </w:r>
      <w:r>
        <w:rPr>
          <w:rFonts w:hint="default" w:ascii="Times New Roman" w:hAnsi="Times New Roman" w:eastAsia="宋体" w:cs="Times New Roman"/>
          <w:color w:val="auto"/>
          <w:sz w:val="24"/>
          <w:szCs w:val="24"/>
          <w:highlight w:val="none"/>
          <w:vertAlign w:val="superscript"/>
          <w:lang w:eastAsia="zh-CN"/>
        </w:rPr>
        <w:t>3</w:t>
      </w:r>
      <w:r>
        <w:rPr>
          <w:rFonts w:hint="default" w:ascii="Times New Roman" w:hAnsi="Times New Roman" w:eastAsia="宋体" w:cs="Times New Roman"/>
          <w:color w:val="auto"/>
          <w:sz w:val="24"/>
          <w:szCs w:val="24"/>
          <w:highlight w:val="none"/>
          <w:lang w:eastAsia="zh-CN"/>
        </w:rPr>
        <w:t>，满足《大气污染综合排放标准》（GB16297-1996）表2标准要求。</w:t>
      </w:r>
    </w:p>
    <w:p>
      <w:pPr>
        <w:keepNext w:val="0"/>
        <w:keepLines w:val="0"/>
        <w:pageBreakBefore w:val="0"/>
        <w:kinsoku/>
        <w:wordWrap/>
        <w:overflowPunct/>
        <w:topLinePunct w:val="0"/>
        <w:autoSpaceDE/>
        <w:autoSpaceDN/>
        <w:bidi w:val="0"/>
        <w:spacing w:line="360" w:lineRule="auto"/>
        <w:ind w:firstLine="600" w:firstLineChars="25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②废水</w:t>
      </w:r>
    </w:p>
    <w:p>
      <w:pPr>
        <w:widowControl/>
        <w:spacing w:line="360" w:lineRule="auto"/>
        <w:ind w:firstLine="480" w:firstLineChars="200"/>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项目废水主要为进出厂车辆冲洗废水、混凝土运输车冲洗废水、搅拌机冲洗废水和职工生活污水。对于进出厂车辆冲洗废水，建设单位设置沉砂池，经沉淀后回用于进出厂车辆冲洗；混凝土运输车冲洗废水、搅拌机冲洗废水经沉淀后回用于生产，确保不外排；对于生活污水，厕所废水经旱厕收集后定期清掏堆肥，洗手等其他生活废水收集后用于厂区洒水降尘</w:t>
      </w:r>
      <w:r>
        <w:rPr>
          <w:rFonts w:hint="eastAsia" w:ascii="Times New Roman" w:hAnsi="Times New Roman" w:eastAsia="宋体" w:cs="Times New Roman"/>
          <w:sz w:val="24"/>
          <w:szCs w:val="24"/>
          <w:lang w:eastAsia="zh-CN"/>
        </w:rPr>
        <w:t>，二期不新增劳动定员，</w:t>
      </w:r>
      <w:r>
        <w:rPr>
          <w:rFonts w:hint="eastAsia" w:cs="Times New Roman"/>
          <w:sz w:val="24"/>
          <w:szCs w:val="24"/>
          <w:lang w:eastAsia="zh-CN"/>
        </w:rPr>
        <w:t>生活</w:t>
      </w:r>
      <w:r>
        <w:rPr>
          <w:rFonts w:hint="eastAsia" w:ascii="Times New Roman" w:hAnsi="Times New Roman" w:eastAsia="宋体" w:cs="Times New Roman"/>
          <w:sz w:val="24"/>
          <w:szCs w:val="24"/>
          <w:lang w:eastAsia="zh-CN"/>
        </w:rPr>
        <w:t>废水排</w:t>
      </w:r>
      <w:r>
        <w:rPr>
          <w:rFonts w:hint="eastAsia" w:cs="Times New Roman"/>
          <w:sz w:val="24"/>
          <w:szCs w:val="24"/>
          <w:lang w:eastAsia="zh-CN"/>
        </w:rPr>
        <w:t>放</w:t>
      </w:r>
      <w:r>
        <w:rPr>
          <w:rFonts w:hint="eastAsia" w:ascii="Times New Roman" w:hAnsi="Times New Roman" w:eastAsia="宋体" w:cs="Times New Roman"/>
          <w:sz w:val="24"/>
          <w:szCs w:val="24"/>
          <w:lang w:eastAsia="zh-CN"/>
        </w:rPr>
        <w:t>情况未发生变化</w:t>
      </w:r>
      <w:r>
        <w:rPr>
          <w:rFonts w:hint="default" w:ascii="Times New Roman" w:hAnsi="Times New Roman" w:eastAsia="宋体" w:cs="Times New Roman"/>
          <w:sz w:val="24"/>
          <w:szCs w:val="24"/>
          <w:lang w:eastAsia="zh-CN"/>
        </w:rPr>
        <w:t>。</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③噪声</w:t>
      </w:r>
    </w:p>
    <w:p>
      <w:pPr>
        <w:spacing w:line="360" w:lineRule="auto"/>
        <w:rPr>
          <w:rFonts w:hint="default" w:ascii="Times New Roman" w:hAnsi="Times New Roman" w:cs="Times New Roman"/>
          <w:sz w:val="24"/>
          <w:szCs w:val="24"/>
        </w:rPr>
      </w:pPr>
      <w:r>
        <w:rPr>
          <w:rFonts w:hint="eastAsia" w:ascii="Times New Roman" w:hAnsi="Times New Roman" w:eastAsia="宋体" w:cs="Times New Roman"/>
          <w:sz w:val="24"/>
          <w:szCs w:val="24"/>
          <w:lang w:val="en-US" w:eastAsia="zh-CN"/>
        </w:rPr>
        <w:t xml:space="preserve"> </w:t>
      </w:r>
      <w:r>
        <w:rPr>
          <w:rFonts w:hint="eastAsia" w:cs="Times New Roman"/>
          <w:sz w:val="24"/>
          <w:szCs w:val="24"/>
          <w:lang w:val="en-US" w:eastAsia="zh-CN"/>
        </w:rPr>
        <w:t xml:space="preserve">  </w:t>
      </w:r>
      <w:r>
        <w:rPr>
          <w:rFonts w:hint="default" w:ascii="Times New Roman" w:hAnsi="Times New Roman" w:eastAsia="宋体" w:cs="Times New Roman"/>
          <w:sz w:val="24"/>
          <w:szCs w:val="24"/>
        </w:rPr>
        <w:t xml:space="preserve"> </w:t>
      </w:r>
      <w:r>
        <w:rPr>
          <w:rFonts w:hint="default" w:ascii="Times New Roman" w:hAnsi="Times New Roman" w:cs="Times New Roman"/>
          <w:sz w:val="24"/>
          <w:szCs w:val="24"/>
        </w:rPr>
        <w:t>验收监测期间，监测点位▲1＃</w:t>
      </w:r>
      <w:r>
        <w:rPr>
          <w:rFonts w:hint="eastAsia" w:ascii="Times New Roman" w:hAnsi="Times New Roman" w:cs="Times New Roman"/>
          <w:sz w:val="24"/>
          <w:szCs w:val="24"/>
          <w:lang w:eastAsia="zh-CN"/>
        </w:rPr>
        <w:t>、▲3＃、▲4＃</w:t>
      </w:r>
      <w:r>
        <w:rPr>
          <w:rFonts w:hint="default" w:ascii="Times New Roman" w:hAnsi="Times New Roman" w:cs="Times New Roman"/>
          <w:sz w:val="24"/>
          <w:szCs w:val="24"/>
        </w:rPr>
        <w:t>昼间噪声在5</w:t>
      </w:r>
      <w:r>
        <w:rPr>
          <w:rFonts w:hint="eastAsia" w:ascii="Times New Roman" w:hAnsi="Times New Roman" w:cs="Times New Roman"/>
          <w:sz w:val="24"/>
          <w:szCs w:val="24"/>
          <w:lang w:val="en-US" w:eastAsia="zh-CN"/>
        </w:rPr>
        <w:t>0.8</w:t>
      </w:r>
      <w:r>
        <w:rPr>
          <w:rFonts w:hint="default" w:ascii="Times New Roman" w:hAnsi="Times New Roman" w:cs="Times New Roman"/>
          <w:sz w:val="24"/>
          <w:szCs w:val="24"/>
        </w:rPr>
        <w:t>-5</w:t>
      </w:r>
      <w:r>
        <w:rPr>
          <w:rFonts w:hint="eastAsia" w:ascii="Times New Roman" w:hAnsi="Times New Roman" w:cs="Times New Roman"/>
          <w:sz w:val="24"/>
          <w:szCs w:val="24"/>
          <w:lang w:val="en-US" w:eastAsia="zh-CN"/>
        </w:rPr>
        <w:t>6.6</w:t>
      </w:r>
      <w:r>
        <w:rPr>
          <w:rFonts w:hint="default" w:ascii="Times New Roman" w:hAnsi="Times New Roman" w:cs="Times New Roman"/>
          <w:sz w:val="24"/>
          <w:szCs w:val="24"/>
        </w:rPr>
        <w:t xml:space="preserve"> (dB)之间，符合《工业企业厂界环境噪声排放标准》（GB12348-2008）中的2类标准限值</w:t>
      </w:r>
      <w:r>
        <w:rPr>
          <w:rFonts w:hint="eastAsia" w:ascii="Times New Roman" w:hAnsi="Times New Roman" w:cs="Times New Roman"/>
          <w:sz w:val="24"/>
          <w:szCs w:val="24"/>
          <w:lang w:eastAsia="zh-CN"/>
        </w:rPr>
        <w:t>，交通噪声▲2＃昼间噪声在</w:t>
      </w:r>
      <w:r>
        <w:rPr>
          <w:rFonts w:hint="eastAsia" w:ascii="Times New Roman" w:hAnsi="Times New Roman" w:cs="Times New Roman"/>
          <w:sz w:val="24"/>
          <w:szCs w:val="24"/>
          <w:lang w:val="en-US" w:eastAsia="zh-CN"/>
        </w:rPr>
        <w:t>61.3</w:t>
      </w:r>
      <w:r>
        <w:rPr>
          <w:rFonts w:hint="eastAsia" w:ascii="Times New Roman" w:hAnsi="Times New Roman" w:cs="Times New Roman"/>
          <w:sz w:val="24"/>
          <w:szCs w:val="24"/>
          <w:lang w:eastAsia="zh-CN"/>
        </w:rPr>
        <w:t>-</w:t>
      </w:r>
      <w:r>
        <w:rPr>
          <w:rFonts w:hint="eastAsia" w:ascii="Times New Roman" w:hAnsi="Times New Roman" w:cs="Times New Roman"/>
          <w:sz w:val="24"/>
          <w:szCs w:val="24"/>
          <w:lang w:val="en-US" w:eastAsia="zh-CN"/>
        </w:rPr>
        <w:t>61.9</w:t>
      </w:r>
      <w:r>
        <w:rPr>
          <w:rFonts w:hint="eastAsia" w:ascii="Times New Roman" w:hAnsi="Times New Roman" w:cs="Times New Roman"/>
          <w:sz w:val="24"/>
          <w:szCs w:val="24"/>
          <w:lang w:eastAsia="zh-CN"/>
        </w:rPr>
        <w:t>(dB)之间，</w:t>
      </w:r>
      <w:r>
        <w:rPr>
          <w:rFonts w:hint="default" w:ascii="Times New Roman" w:hAnsi="Times New Roman" w:cs="Times New Roman"/>
          <w:sz w:val="24"/>
          <w:szCs w:val="24"/>
        </w:rPr>
        <w:t>符合《工业企业厂界环境噪声排放标准》（GB12348-2008）中的</w:t>
      </w:r>
      <w:r>
        <w:rPr>
          <w:rFonts w:hint="eastAsia" w:ascii="Times New Roman" w:hAnsi="Times New Roman" w:cs="Times New Roman"/>
          <w:sz w:val="24"/>
          <w:szCs w:val="24"/>
          <w:lang w:val="en-US" w:eastAsia="zh-CN"/>
        </w:rPr>
        <w:t>4a</w:t>
      </w:r>
      <w:r>
        <w:rPr>
          <w:rFonts w:hint="default" w:ascii="Times New Roman" w:hAnsi="Times New Roman" w:cs="Times New Roman"/>
          <w:sz w:val="24"/>
          <w:szCs w:val="24"/>
        </w:rPr>
        <w:t>类标准限值。</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sz w:val="24"/>
        </w:rPr>
      </w:pPr>
      <w:r>
        <w:rPr>
          <w:rFonts w:hint="default" w:ascii="Times New Roman" w:hAnsi="Times New Roman" w:cs="Times New Roman" w:eastAsiaTheme="majorEastAsia"/>
          <w:sz w:val="24"/>
          <w:szCs w:val="24"/>
        </w:rPr>
        <w:t>④固废</w:t>
      </w:r>
    </w:p>
    <w:p>
      <w:pPr>
        <w:adjustRightInd w:val="0"/>
        <w:spacing w:line="360" w:lineRule="auto"/>
        <w:ind w:firstLine="464" w:firstLineChars="200"/>
        <w:rPr>
          <w:rFonts w:hint="default" w:ascii="Times New Roman" w:hAnsi="Times New Roman" w:eastAsia="宋体" w:cs="Times New Roman"/>
          <w:spacing w:val="-4"/>
          <w:sz w:val="24"/>
          <w:szCs w:val="24"/>
          <w:lang w:val="en-US" w:eastAsia="zh-CN"/>
        </w:rPr>
      </w:pPr>
      <w:r>
        <w:rPr>
          <w:rFonts w:hint="default" w:ascii="Times New Roman" w:hAnsi="Times New Roman" w:eastAsia="宋体" w:cs="Times New Roman"/>
          <w:spacing w:val="-4"/>
          <w:sz w:val="24"/>
          <w:szCs w:val="24"/>
          <w:lang w:val="en-US" w:eastAsia="zh-CN"/>
        </w:rPr>
        <w:t>项目的固体废物主要包括：沉砂池沉渣；除尘设备回收粉尘；生活垃圾。</w:t>
      </w:r>
    </w:p>
    <w:p>
      <w:pPr>
        <w:adjustRightInd w:val="0"/>
        <w:spacing w:line="360" w:lineRule="auto"/>
        <w:ind w:firstLine="464" w:firstLineChars="200"/>
        <w:rPr>
          <w:rFonts w:hint="default" w:ascii="Times New Roman" w:hAnsi="Times New Roman" w:eastAsia="宋体" w:cs="Times New Roman"/>
          <w:spacing w:val="-4"/>
          <w:sz w:val="24"/>
          <w:szCs w:val="24"/>
          <w:lang w:val="en-US" w:eastAsia="zh-CN"/>
        </w:rPr>
      </w:pPr>
      <w:r>
        <w:rPr>
          <w:rFonts w:hint="default" w:ascii="Times New Roman" w:hAnsi="Times New Roman" w:eastAsia="宋体" w:cs="Times New Roman"/>
          <w:spacing w:val="-4"/>
          <w:sz w:val="24"/>
          <w:szCs w:val="24"/>
          <w:lang w:val="en-US" w:eastAsia="zh-CN"/>
        </w:rPr>
        <w:t>沉砂池沉渣、除尘设备回收粉尘，企业定期清理回收利用；生活垃圾统一存放于带盖的垃圾箱内，由环卫部门定期清运。</w:t>
      </w:r>
    </w:p>
    <w:p>
      <w:pPr>
        <w:keepNext w:val="0"/>
        <w:keepLines w:val="0"/>
        <w:pageBreakBefore w:val="0"/>
        <w:kinsoku/>
        <w:wordWrap/>
        <w:overflowPunct/>
        <w:topLinePunct w:val="0"/>
        <w:autoSpaceDE/>
        <w:autoSpaceDN/>
        <w:bidi w:val="0"/>
        <w:spacing w:line="360" w:lineRule="auto"/>
        <w:ind w:firstLine="240" w:firstLineChars="100"/>
        <w:jc w:val="left"/>
        <w:textAlignment w:val="auto"/>
        <w:rPr>
          <w:rFonts w:hint="default" w:ascii="Times New Roman" w:hAnsi="Times New Roman" w:eastAsia="宋体" w:cs="Times New Roman"/>
          <w:sz w:val="24"/>
        </w:rPr>
      </w:pPr>
      <w:r>
        <w:rPr>
          <w:rFonts w:hint="default" w:ascii="Times New Roman" w:hAnsi="Times New Roman" w:eastAsia="宋体" w:cs="Times New Roman"/>
          <w:sz w:val="24"/>
        </w:rPr>
        <w:t>（2）环境管理调查</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rPr>
      </w:pPr>
      <w:r>
        <w:rPr>
          <w:rFonts w:hint="default" w:ascii="Times New Roman" w:hAnsi="Times New Roman" w:eastAsia="宋体" w:cs="Times New Roman"/>
          <w:sz w:val="24"/>
        </w:rPr>
        <w:t>公司制定了《</w:t>
      </w:r>
      <w:r>
        <w:rPr>
          <w:rFonts w:hint="eastAsia" w:cs="Times New Roman"/>
          <w:sz w:val="24"/>
          <w:lang w:eastAsia="zh-CN"/>
        </w:rPr>
        <w:t>聊城宏达建筑工程有限公司</w:t>
      </w:r>
      <w:r>
        <w:rPr>
          <w:rFonts w:hint="default" w:ascii="Times New Roman" w:hAnsi="Times New Roman" w:eastAsia="宋体" w:cs="Times New Roman"/>
          <w:sz w:val="24"/>
        </w:rPr>
        <w:t>环保管理制度》,并设立了相关机构。日常工作由工程部门归口管理，主要职责：行使公司环保工作的计划、组织、指挥、协调、检查和考核管理职能，日常一切工作须对公司负责。</w:t>
      </w:r>
    </w:p>
    <w:p>
      <w:pPr>
        <w:keepNext w:val="0"/>
        <w:keepLines w:val="0"/>
        <w:pageBreakBefore w:val="0"/>
        <w:tabs>
          <w:tab w:val="left" w:pos="8880"/>
        </w:tabs>
        <w:kinsoku/>
        <w:wordWrap/>
        <w:overflowPunct/>
        <w:topLinePunct w:val="0"/>
        <w:autoSpaceDE/>
        <w:autoSpaceDN/>
        <w:bidi w:val="0"/>
        <w:snapToGrid w:val="0"/>
        <w:spacing w:line="360" w:lineRule="auto"/>
        <w:jc w:val="left"/>
        <w:textAlignment w:val="auto"/>
        <w:rPr>
          <w:rFonts w:hint="default" w:ascii="Times New Roman" w:hAnsi="Times New Roman" w:cs="Times New Roman" w:eastAsiaTheme="minorEastAsia"/>
          <w:sz w:val="28"/>
          <w:szCs w:val="28"/>
          <w:highlight w:val="none"/>
        </w:rPr>
      </w:pPr>
      <w:r>
        <w:rPr>
          <w:rFonts w:hint="default" w:ascii="Times New Roman" w:hAnsi="Times New Roman" w:cs="Times New Roman" w:eastAsiaTheme="minorEastAsia"/>
          <w:sz w:val="28"/>
          <w:szCs w:val="28"/>
          <w:highlight w:val="none"/>
        </w:rPr>
        <w:t>五、专家意见</w:t>
      </w:r>
    </w:p>
    <w:p>
      <w:pPr>
        <w:pStyle w:val="9"/>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eastAsiaTheme="minorEastAsia"/>
          <w:sz w:val="24"/>
          <w:highlight w:val="none"/>
          <w:lang w:eastAsia="zh-CN"/>
        </w:rPr>
      </w:pPr>
      <w:r>
        <w:rPr>
          <w:rFonts w:hint="default" w:ascii="Times New Roman" w:hAnsi="Times New Roman" w:cs="Times New Roman" w:eastAsiaTheme="minorEastAsia"/>
          <w:sz w:val="24"/>
          <w:highlight w:val="none"/>
          <w:lang w:eastAsia="zh-CN"/>
        </w:rPr>
        <w:t>（</w:t>
      </w:r>
      <w:r>
        <w:rPr>
          <w:rFonts w:hint="default" w:ascii="Times New Roman" w:hAnsi="Times New Roman" w:cs="Times New Roman" w:eastAsiaTheme="minorEastAsia"/>
          <w:sz w:val="24"/>
          <w:highlight w:val="none"/>
        </w:rPr>
        <w:t>1</w:t>
      </w:r>
      <w:r>
        <w:rPr>
          <w:rFonts w:hint="default" w:ascii="Times New Roman" w:hAnsi="Times New Roman" w:cs="Times New Roman" w:eastAsiaTheme="minorEastAsia"/>
          <w:sz w:val="24"/>
          <w:highlight w:val="none"/>
          <w:lang w:eastAsia="zh-CN"/>
        </w:rPr>
        <w:t>）项目运营过程中，</w:t>
      </w:r>
      <w:r>
        <w:rPr>
          <w:rFonts w:hint="eastAsia" w:ascii="Times New Roman" w:hAnsi="Times New Roman" w:cs="Times New Roman" w:eastAsiaTheme="minorEastAsia"/>
          <w:sz w:val="24"/>
          <w:highlight w:val="none"/>
          <w:lang w:eastAsia="zh-CN"/>
        </w:rPr>
        <w:t>搅拌楼严格密闭生产；</w:t>
      </w:r>
      <w:r>
        <w:rPr>
          <w:rFonts w:hint="eastAsia" w:ascii="Times New Roman" w:hAnsi="Times New Roman" w:cs="Times New Roman" w:eastAsiaTheme="minorEastAsia"/>
          <w:sz w:val="24"/>
          <w:highlight w:val="none"/>
          <w:lang w:val="en-US" w:eastAsia="zh-CN"/>
        </w:rPr>
        <w:t>车间不够密闭，应及时修补破损处；</w:t>
      </w:r>
      <w:r>
        <w:rPr>
          <w:rFonts w:hint="eastAsia" w:ascii="Times New Roman" w:hAnsi="Times New Roman" w:cs="Times New Roman" w:eastAsiaTheme="minorEastAsia"/>
          <w:sz w:val="24"/>
          <w:highlight w:val="none"/>
          <w:lang w:eastAsia="zh-CN"/>
        </w:rPr>
        <w:t>增加喷淋装置，减少无组织逸散</w:t>
      </w:r>
      <w:r>
        <w:rPr>
          <w:rFonts w:hint="default" w:ascii="Times New Roman" w:hAnsi="Times New Roman" w:cs="Times New Roman" w:eastAsiaTheme="minorEastAsia"/>
          <w:sz w:val="24"/>
          <w:highlight w:val="none"/>
          <w:lang w:eastAsia="zh-CN"/>
        </w:rPr>
        <w:t>。</w:t>
      </w:r>
    </w:p>
    <w:p>
      <w:pPr>
        <w:pStyle w:val="9"/>
        <w:keepNext w:val="0"/>
        <w:keepLines w:val="0"/>
        <w:pageBreakBefore w:val="0"/>
        <w:kinsoku/>
        <w:wordWrap/>
        <w:overflowPunct/>
        <w:topLinePunct w:val="0"/>
        <w:autoSpaceDE/>
        <w:autoSpaceDN/>
        <w:bidi w:val="0"/>
        <w:spacing w:line="360" w:lineRule="auto"/>
        <w:ind w:firstLine="480" w:firstLineChars="200"/>
        <w:textAlignment w:val="auto"/>
        <w:rPr>
          <w:rFonts w:hint="eastAsia" w:ascii="Times New Roman" w:hAnsi="Times New Roman" w:cs="Times New Roman" w:eastAsiaTheme="minorEastAsia"/>
          <w:sz w:val="24"/>
          <w:szCs w:val="24"/>
          <w:lang w:eastAsia="zh-CN"/>
        </w:rPr>
      </w:pPr>
      <w:r>
        <w:rPr>
          <w:rFonts w:hint="default"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lang w:val="en-US" w:eastAsia="zh-CN"/>
        </w:rPr>
        <w:t>2</w:t>
      </w:r>
      <w:r>
        <w:rPr>
          <w:rFonts w:hint="default" w:ascii="Times New Roman" w:hAnsi="Times New Roman" w:cs="Times New Roman" w:eastAsiaTheme="minorEastAsia"/>
          <w:sz w:val="24"/>
          <w:szCs w:val="24"/>
          <w:lang w:eastAsia="zh-CN"/>
        </w:rPr>
        <w:t>）</w:t>
      </w:r>
      <w:r>
        <w:rPr>
          <w:rFonts w:hint="eastAsia" w:ascii="Times New Roman" w:hAnsi="Times New Roman" w:cs="Times New Roman" w:eastAsiaTheme="minorEastAsia"/>
          <w:sz w:val="24"/>
          <w:szCs w:val="24"/>
          <w:lang w:eastAsia="zh-CN"/>
        </w:rPr>
        <w:t>上料处进一步密闭，提高废气收集率，减少无组织排放。</w:t>
      </w:r>
    </w:p>
    <w:p>
      <w:pPr>
        <w:pStyle w:val="9"/>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eastAsiaTheme="minorEastAsia"/>
          <w:sz w:val="24"/>
          <w:szCs w:val="24"/>
        </w:rPr>
      </w:pPr>
      <w:r>
        <w:rPr>
          <w:rFonts w:hint="eastAsia" w:ascii="Times New Roman" w:hAnsi="Times New Roman" w:cs="Times New Roman" w:eastAsiaTheme="minorEastAsia"/>
          <w:sz w:val="24"/>
          <w:szCs w:val="24"/>
          <w:lang w:eastAsia="zh-CN"/>
        </w:rPr>
        <w:t>（</w:t>
      </w:r>
      <w:r>
        <w:rPr>
          <w:rFonts w:hint="eastAsia" w:ascii="Times New Roman" w:hAnsi="Times New Roman" w:cs="Times New Roman" w:eastAsiaTheme="minorEastAsia"/>
          <w:sz w:val="24"/>
          <w:szCs w:val="24"/>
          <w:lang w:val="en-US" w:eastAsia="zh-CN"/>
        </w:rPr>
        <w:t>3</w:t>
      </w:r>
      <w:r>
        <w:rPr>
          <w:rFonts w:hint="eastAsia"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lang w:eastAsia="zh-CN"/>
        </w:rPr>
        <w:t>完善风险防范设施，定期开展废气、噪声等污染物自行监测</w:t>
      </w:r>
      <w:r>
        <w:rPr>
          <w:rFonts w:hint="default" w:ascii="Times New Roman" w:hAnsi="Times New Roman" w:cs="Times New Roman" w:eastAsiaTheme="minorEastAsia"/>
          <w:sz w:val="24"/>
          <w:szCs w:val="24"/>
        </w:rPr>
        <w:t>。</w:t>
      </w:r>
    </w:p>
    <w:p>
      <w:pPr>
        <w:keepNext w:val="0"/>
        <w:keepLines w:val="0"/>
        <w:pageBreakBefore w:val="0"/>
        <w:kinsoku/>
        <w:wordWrap/>
        <w:overflowPunct/>
        <w:topLinePunct w:val="0"/>
        <w:autoSpaceDE/>
        <w:autoSpaceDN/>
        <w:bidi w:val="0"/>
        <w:snapToGrid w:val="0"/>
        <w:spacing w:line="360" w:lineRule="auto"/>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六、验收结论</w:t>
      </w:r>
    </w:p>
    <w:p>
      <w:pPr>
        <w:keepNext w:val="0"/>
        <w:keepLines w:val="0"/>
        <w:pageBreakBefore w:val="0"/>
        <w:kinsoku/>
        <w:wordWrap/>
        <w:overflowPunct/>
        <w:topLinePunct w:val="0"/>
        <w:autoSpaceDE/>
        <w:autoSpaceDN/>
        <w:bidi w:val="0"/>
        <w:spacing w:line="360" w:lineRule="auto"/>
        <w:ind w:firstLine="555"/>
        <w:textAlignment w:val="auto"/>
        <w:rPr>
          <w:rFonts w:hint="default" w:ascii="Times New Roman" w:hAnsi="Times New Roman" w:cs="Times New Roman"/>
          <w:sz w:val="24"/>
        </w:rPr>
      </w:pPr>
      <w:r>
        <w:rPr>
          <w:rFonts w:hint="default" w:ascii="Times New Roman" w:hAnsi="Times New Roman" w:cs="Times New Roman"/>
          <w:sz w:val="24"/>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keepNext w:val="0"/>
        <w:keepLines w:val="0"/>
        <w:pageBreakBefore w:val="0"/>
        <w:tabs>
          <w:tab w:val="left" w:pos="5955"/>
          <w:tab w:val="left" w:pos="6095"/>
        </w:tabs>
        <w:kinsoku/>
        <w:wordWrap/>
        <w:overflowPunct/>
        <w:topLinePunct w:val="0"/>
        <w:autoSpaceDE/>
        <w:autoSpaceDN/>
        <w:bidi w:val="0"/>
        <w:spacing w:line="360" w:lineRule="auto"/>
        <w:ind w:firstLine="480" w:firstLineChars="200"/>
        <w:jc w:val="left"/>
        <w:textAlignment w:val="auto"/>
        <w:rPr>
          <w:rFonts w:hint="default" w:ascii="Times New Roman" w:hAnsi="Times New Roman" w:eastAsia="楷体" w:cs="Times New Roman"/>
          <w:sz w:val="28"/>
          <w:szCs w:val="28"/>
        </w:rPr>
      </w:pPr>
      <w:r>
        <w:rPr>
          <w:rFonts w:hint="default" w:ascii="Times New Roman" w:hAnsi="Times New Roman" w:cs="Times New Roman"/>
          <w:sz w:val="24"/>
        </w:rPr>
        <w:t xml:space="preserve">鉴于项目符合国家和地方相关产业标准及准入要求，用地符合当地规划，环保设施与生产配套，验收期间各项监测指标满足国家相关排放标准，该项目通过环保验收。        </w:t>
      </w:r>
      <w:r>
        <w:rPr>
          <w:rFonts w:hint="default" w:ascii="Times New Roman" w:hAnsi="Times New Roman" w:cs="Times New Roman"/>
          <w:sz w:val="28"/>
          <w:szCs w:val="28"/>
        </w:rPr>
        <w:t xml:space="preserve">       </w:t>
      </w:r>
      <w:r>
        <w:rPr>
          <w:rFonts w:hint="default" w:ascii="Times New Roman" w:hAnsi="Times New Roman" w:eastAsia="楷体" w:cs="Times New Roman"/>
          <w:sz w:val="28"/>
          <w:szCs w:val="28"/>
        </w:rPr>
        <w:t xml:space="preserve">           </w:t>
      </w:r>
    </w:p>
    <w:p>
      <w:pPr>
        <w:keepNext w:val="0"/>
        <w:keepLines w:val="0"/>
        <w:pageBreakBefore w:val="0"/>
        <w:kinsoku/>
        <w:wordWrap/>
        <w:overflowPunct/>
        <w:topLinePunct w:val="0"/>
        <w:autoSpaceDE/>
        <w:autoSpaceDN/>
        <w:bidi w:val="0"/>
        <w:spacing w:line="360" w:lineRule="auto"/>
        <w:jc w:val="right"/>
        <w:textAlignment w:val="auto"/>
        <w:rPr>
          <w:rFonts w:hint="default" w:ascii="Times New Roman" w:hAnsi="Times New Roman" w:cs="Times New Roman"/>
          <w:sz w:val="28"/>
          <w:szCs w:val="28"/>
        </w:rPr>
      </w:pPr>
    </w:p>
    <w:p>
      <w:pPr>
        <w:pStyle w:val="2"/>
        <w:keepNext w:val="0"/>
        <w:keepLines w:val="0"/>
        <w:pageBreakBefore w:val="0"/>
        <w:kinsoku/>
        <w:wordWrap/>
        <w:overflowPunct/>
        <w:topLinePunct w:val="0"/>
        <w:autoSpaceDE/>
        <w:autoSpaceDN/>
        <w:bidi w:val="0"/>
        <w:ind w:firstLine="560"/>
        <w:textAlignment w:val="auto"/>
        <w:rPr>
          <w:rFonts w:hint="default" w:ascii="Times New Roman" w:hAnsi="Times New Roman" w:cs="Times New Roman"/>
        </w:rPr>
      </w:pPr>
    </w:p>
    <w:p>
      <w:pPr>
        <w:pStyle w:val="2"/>
        <w:keepNext w:val="0"/>
        <w:keepLines w:val="0"/>
        <w:pageBreakBefore w:val="0"/>
        <w:kinsoku/>
        <w:wordWrap/>
        <w:overflowPunct/>
        <w:topLinePunct w:val="0"/>
        <w:autoSpaceDE/>
        <w:autoSpaceDN/>
        <w:bidi w:val="0"/>
        <w:ind w:firstLine="560"/>
        <w:textAlignment w:val="auto"/>
        <w:rPr>
          <w:rFonts w:hint="default" w:ascii="Times New Roman" w:hAnsi="Times New Roman" w:cs="Times New Roman"/>
        </w:rPr>
      </w:pPr>
      <w:bookmarkStart w:id="0" w:name="_GoBack"/>
      <w:bookmarkEnd w:id="0"/>
    </w:p>
    <w:p>
      <w:pPr>
        <w:pStyle w:val="2"/>
        <w:keepNext w:val="0"/>
        <w:keepLines w:val="0"/>
        <w:pageBreakBefore w:val="0"/>
        <w:kinsoku/>
        <w:wordWrap/>
        <w:overflowPunct/>
        <w:topLinePunct w:val="0"/>
        <w:autoSpaceDE/>
        <w:autoSpaceDN/>
        <w:bidi w:val="0"/>
        <w:ind w:firstLine="560"/>
        <w:textAlignment w:val="auto"/>
        <w:rPr>
          <w:rFonts w:hint="default" w:ascii="Times New Roman" w:hAnsi="Times New Roman" w:cs="Times New Roman"/>
        </w:rPr>
      </w:pPr>
    </w:p>
    <w:p>
      <w:pPr>
        <w:keepNext w:val="0"/>
        <w:keepLines w:val="0"/>
        <w:pageBreakBefore w:val="0"/>
        <w:kinsoku/>
        <w:wordWrap/>
        <w:overflowPunct/>
        <w:topLinePunct w:val="0"/>
        <w:autoSpaceDE/>
        <w:autoSpaceDN/>
        <w:bidi w:val="0"/>
        <w:spacing w:line="360" w:lineRule="auto"/>
        <w:jc w:val="right"/>
        <w:textAlignment w:val="auto"/>
        <w:rPr>
          <w:rFonts w:hint="default" w:ascii="Times New Roman" w:hAnsi="Times New Roman" w:cs="Times New Roman"/>
          <w:sz w:val="28"/>
          <w:szCs w:val="28"/>
        </w:rPr>
      </w:pPr>
      <w:r>
        <w:rPr>
          <w:rFonts w:hint="eastAsia" w:cs="Times New Roman"/>
          <w:sz w:val="28"/>
          <w:szCs w:val="28"/>
          <w:lang w:eastAsia="zh-CN"/>
        </w:rPr>
        <w:t>聊城宏达建筑工程有限公司</w:t>
      </w:r>
      <w:r>
        <w:rPr>
          <w:rFonts w:hint="default" w:ascii="Times New Roman" w:hAnsi="Times New Roman" w:cs="Times New Roman"/>
          <w:sz w:val="28"/>
          <w:szCs w:val="28"/>
        </w:rPr>
        <w:t>验收组</w:t>
      </w:r>
    </w:p>
    <w:p>
      <w:pPr>
        <w:keepNext w:val="0"/>
        <w:keepLines w:val="0"/>
        <w:pageBreakBefore w:val="0"/>
        <w:kinsoku/>
        <w:wordWrap/>
        <w:overflowPunct/>
        <w:topLinePunct w:val="0"/>
        <w:autoSpaceDE/>
        <w:autoSpaceDN/>
        <w:bidi w:val="0"/>
        <w:spacing w:line="360" w:lineRule="auto"/>
        <w:jc w:val="right"/>
        <w:textAlignment w:val="auto"/>
        <w:rPr>
          <w:rFonts w:hint="default" w:ascii="Times New Roman" w:hAnsi="Times New Roman" w:eastAsia="楷体" w:cs="Times New Roman"/>
          <w:sz w:val="24"/>
          <w:highlight w:val="none"/>
        </w:rPr>
      </w:pPr>
      <w:r>
        <w:rPr>
          <w:rFonts w:hint="default" w:ascii="Times New Roman" w:hAnsi="Times New Roman" w:eastAsia="楷体" w:cs="Times New Roman"/>
          <w:sz w:val="28"/>
          <w:szCs w:val="28"/>
        </w:rPr>
        <w:t xml:space="preserve">                               </w:t>
      </w:r>
      <w:r>
        <w:rPr>
          <w:rFonts w:hint="default" w:ascii="Times New Roman" w:hAnsi="Times New Roman" w:eastAsia="楷体" w:cs="Times New Roman"/>
          <w:sz w:val="28"/>
          <w:szCs w:val="28"/>
          <w:highlight w:val="none"/>
        </w:rPr>
        <w:t xml:space="preserve"> </w:t>
      </w:r>
      <w:r>
        <w:rPr>
          <w:rFonts w:hint="default" w:ascii="Times New Roman" w:hAnsi="Times New Roman" w:cs="Times New Roman"/>
          <w:sz w:val="28"/>
          <w:szCs w:val="28"/>
          <w:highlight w:val="none"/>
        </w:rPr>
        <w:t>202</w:t>
      </w:r>
      <w:r>
        <w:rPr>
          <w:rFonts w:hint="default" w:ascii="Times New Roman" w:hAnsi="Times New Roman" w:cs="Times New Roman"/>
          <w:sz w:val="28"/>
          <w:szCs w:val="28"/>
          <w:highlight w:val="none"/>
          <w:lang w:val="en-US" w:eastAsia="zh-CN"/>
        </w:rPr>
        <w:t>2</w:t>
      </w:r>
      <w:r>
        <w:rPr>
          <w:rFonts w:hint="default" w:ascii="Times New Roman" w:hAnsi="Times New Roman" w:cs="Times New Roman"/>
          <w:sz w:val="28"/>
          <w:szCs w:val="28"/>
          <w:highlight w:val="none"/>
        </w:rPr>
        <w:t>年</w:t>
      </w:r>
      <w:r>
        <w:rPr>
          <w:rFonts w:hint="default" w:ascii="Times New Roman" w:hAnsi="Times New Roman" w:cs="Times New Roman"/>
          <w:sz w:val="28"/>
          <w:szCs w:val="28"/>
          <w:highlight w:val="none"/>
          <w:lang w:val="en-US" w:eastAsia="zh-CN"/>
        </w:rPr>
        <w:t>0</w:t>
      </w:r>
      <w:r>
        <w:rPr>
          <w:rFonts w:hint="eastAsia" w:cs="Times New Roman"/>
          <w:sz w:val="28"/>
          <w:szCs w:val="28"/>
          <w:highlight w:val="none"/>
          <w:lang w:val="en-US" w:eastAsia="zh-CN"/>
        </w:rPr>
        <w:t>6</w:t>
      </w:r>
      <w:r>
        <w:rPr>
          <w:rFonts w:hint="default" w:ascii="Times New Roman" w:hAnsi="Times New Roman" w:cs="Times New Roman"/>
          <w:sz w:val="28"/>
          <w:szCs w:val="28"/>
          <w:highlight w:val="none"/>
        </w:rPr>
        <w:t>月</w:t>
      </w:r>
      <w:r>
        <w:rPr>
          <w:rFonts w:hint="eastAsia" w:cs="Times New Roman"/>
          <w:sz w:val="28"/>
          <w:szCs w:val="28"/>
          <w:highlight w:val="none"/>
          <w:lang w:val="en-US" w:eastAsia="zh-CN"/>
        </w:rPr>
        <w:t>04</w:t>
      </w:r>
      <w:r>
        <w:rPr>
          <w:rFonts w:hint="default" w:ascii="Times New Roman" w:hAnsi="Times New Roman" w:cs="Times New Roman"/>
          <w:sz w:val="28"/>
          <w:szCs w:val="28"/>
          <w:highlight w:val="none"/>
        </w:rPr>
        <w:t>日</w:t>
      </w:r>
    </w:p>
    <w:p>
      <w:pPr>
        <w:pStyle w:val="2"/>
        <w:keepNext w:val="0"/>
        <w:keepLines w:val="0"/>
        <w:pageBreakBefore w:val="0"/>
        <w:kinsoku/>
        <w:wordWrap/>
        <w:overflowPunct/>
        <w:topLinePunct w:val="0"/>
        <w:autoSpaceDE/>
        <w:autoSpaceDN/>
        <w:bidi w:val="0"/>
        <w:ind w:firstLine="560"/>
        <w:textAlignment w:val="auto"/>
        <w:rPr>
          <w:rFonts w:hint="default" w:ascii="Times New Roman" w:hAnsi="Times New Roman" w:cs="Times New Roman"/>
        </w:rPr>
      </w:pPr>
    </w:p>
    <w:p>
      <w:pPr>
        <w:pStyle w:val="2"/>
        <w:keepNext w:val="0"/>
        <w:keepLines w:val="0"/>
        <w:pageBreakBefore w:val="0"/>
        <w:kinsoku/>
        <w:wordWrap/>
        <w:overflowPunct/>
        <w:topLinePunct w:val="0"/>
        <w:autoSpaceDE/>
        <w:autoSpaceDN/>
        <w:bidi w:val="0"/>
        <w:ind w:firstLine="560"/>
        <w:textAlignment w:val="auto"/>
        <w:rPr>
          <w:rFonts w:hint="default" w:ascii="Times New Roman" w:hAnsi="Times New Roman" w:cs="Times New Roman"/>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418" w:bottom="1440" w:left="1418" w:header="567" w:footer="794"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tabs>
        <w:tab w:val="center" w:pos="4535"/>
        <w:tab w:val="clear" w:pos="4153"/>
      </w:tabs>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11"/>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w: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2"/>
  </w:compat>
  <w:docVars>
    <w:docVar w:name="commondata" w:val="eyJoZGlkIjoiZWY2ZmI4MzU2OWY3MDgzODYxYjk0YzRkOGU5YzBlYTYifQ=="/>
  </w:docVars>
  <w:rsids>
    <w:rsidRoot w:val="00752F3F"/>
    <w:rsid w:val="00007203"/>
    <w:rsid w:val="00015DD7"/>
    <w:rsid w:val="00031A87"/>
    <w:rsid w:val="00057AE6"/>
    <w:rsid w:val="00062BC5"/>
    <w:rsid w:val="000C4E79"/>
    <w:rsid w:val="000C5D2E"/>
    <w:rsid w:val="001777C5"/>
    <w:rsid w:val="001F5121"/>
    <w:rsid w:val="0021059E"/>
    <w:rsid w:val="00216D12"/>
    <w:rsid w:val="00233D50"/>
    <w:rsid w:val="0026170E"/>
    <w:rsid w:val="002C28ED"/>
    <w:rsid w:val="002C493C"/>
    <w:rsid w:val="002C6AA5"/>
    <w:rsid w:val="0031015F"/>
    <w:rsid w:val="003313B6"/>
    <w:rsid w:val="00335B9E"/>
    <w:rsid w:val="00340B0A"/>
    <w:rsid w:val="00364672"/>
    <w:rsid w:val="003D58AD"/>
    <w:rsid w:val="0040329E"/>
    <w:rsid w:val="004277C9"/>
    <w:rsid w:val="00443107"/>
    <w:rsid w:val="00515926"/>
    <w:rsid w:val="0052375F"/>
    <w:rsid w:val="0056014E"/>
    <w:rsid w:val="00574C7A"/>
    <w:rsid w:val="00592F1E"/>
    <w:rsid w:val="005A4A68"/>
    <w:rsid w:val="005A67AA"/>
    <w:rsid w:val="005D05BA"/>
    <w:rsid w:val="005E5F6F"/>
    <w:rsid w:val="00601A89"/>
    <w:rsid w:val="00617CA2"/>
    <w:rsid w:val="0063240F"/>
    <w:rsid w:val="006B4E83"/>
    <w:rsid w:val="006B6D1F"/>
    <w:rsid w:val="006D600D"/>
    <w:rsid w:val="006E0A71"/>
    <w:rsid w:val="00704C1C"/>
    <w:rsid w:val="00752F3F"/>
    <w:rsid w:val="007621BC"/>
    <w:rsid w:val="007A0F96"/>
    <w:rsid w:val="007B286E"/>
    <w:rsid w:val="007E23B4"/>
    <w:rsid w:val="007F2189"/>
    <w:rsid w:val="007F513F"/>
    <w:rsid w:val="00843134"/>
    <w:rsid w:val="008D13B7"/>
    <w:rsid w:val="008F366D"/>
    <w:rsid w:val="00965CD8"/>
    <w:rsid w:val="009722EA"/>
    <w:rsid w:val="00972A42"/>
    <w:rsid w:val="009A57EA"/>
    <w:rsid w:val="009A73D2"/>
    <w:rsid w:val="009E04DC"/>
    <w:rsid w:val="009F3080"/>
    <w:rsid w:val="00A21740"/>
    <w:rsid w:val="00A21ADD"/>
    <w:rsid w:val="00A24CA0"/>
    <w:rsid w:val="00A36E7B"/>
    <w:rsid w:val="00A411AF"/>
    <w:rsid w:val="00A56BA9"/>
    <w:rsid w:val="00B0594C"/>
    <w:rsid w:val="00B32D49"/>
    <w:rsid w:val="00BC7155"/>
    <w:rsid w:val="00C5501F"/>
    <w:rsid w:val="00CB42D6"/>
    <w:rsid w:val="00CB6CBD"/>
    <w:rsid w:val="00CC379B"/>
    <w:rsid w:val="00CD21C1"/>
    <w:rsid w:val="00CD70C8"/>
    <w:rsid w:val="00CF7AD8"/>
    <w:rsid w:val="00D4655E"/>
    <w:rsid w:val="00D6473E"/>
    <w:rsid w:val="00DA3092"/>
    <w:rsid w:val="00DE4D88"/>
    <w:rsid w:val="00E115D3"/>
    <w:rsid w:val="00E3735B"/>
    <w:rsid w:val="00E724CE"/>
    <w:rsid w:val="00E73B96"/>
    <w:rsid w:val="00E941A2"/>
    <w:rsid w:val="00EF0FDC"/>
    <w:rsid w:val="00F056C7"/>
    <w:rsid w:val="00F10FE7"/>
    <w:rsid w:val="00F45902"/>
    <w:rsid w:val="00F83BE8"/>
    <w:rsid w:val="00F86E3A"/>
    <w:rsid w:val="00FB3D28"/>
    <w:rsid w:val="00FC25EE"/>
    <w:rsid w:val="00FD3AA5"/>
    <w:rsid w:val="00FD5D44"/>
    <w:rsid w:val="00FE23E9"/>
    <w:rsid w:val="00FF3832"/>
    <w:rsid w:val="00FF647F"/>
    <w:rsid w:val="013D4B60"/>
    <w:rsid w:val="02170638"/>
    <w:rsid w:val="024912E2"/>
    <w:rsid w:val="02CD19B5"/>
    <w:rsid w:val="02DF39F5"/>
    <w:rsid w:val="02E977E9"/>
    <w:rsid w:val="032E1706"/>
    <w:rsid w:val="03920A67"/>
    <w:rsid w:val="03D33559"/>
    <w:rsid w:val="03DC71E6"/>
    <w:rsid w:val="04325910"/>
    <w:rsid w:val="04334B5D"/>
    <w:rsid w:val="04462447"/>
    <w:rsid w:val="044C330C"/>
    <w:rsid w:val="048F6451"/>
    <w:rsid w:val="04BF763A"/>
    <w:rsid w:val="04E4350F"/>
    <w:rsid w:val="050B0C41"/>
    <w:rsid w:val="050C38FD"/>
    <w:rsid w:val="05883ED0"/>
    <w:rsid w:val="060C68AF"/>
    <w:rsid w:val="069A05FE"/>
    <w:rsid w:val="06A72DCB"/>
    <w:rsid w:val="06D74677"/>
    <w:rsid w:val="077374C2"/>
    <w:rsid w:val="07935729"/>
    <w:rsid w:val="07B62F76"/>
    <w:rsid w:val="07C733D5"/>
    <w:rsid w:val="07DB29DD"/>
    <w:rsid w:val="080C1189"/>
    <w:rsid w:val="08193B10"/>
    <w:rsid w:val="08516DB8"/>
    <w:rsid w:val="08535D04"/>
    <w:rsid w:val="08AF225F"/>
    <w:rsid w:val="08DC4DF6"/>
    <w:rsid w:val="09767DA1"/>
    <w:rsid w:val="09777F96"/>
    <w:rsid w:val="097906FF"/>
    <w:rsid w:val="0A0124A3"/>
    <w:rsid w:val="0A285C81"/>
    <w:rsid w:val="0A5136EA"/>
    <w:rsid w:val="0A5F47A2"/>
    <w:rsid w:val="0A981059"/>
    <w:rsid w:val="0AD52D3C"/>
    <w:rsid w:val="0AEE0C79"/>
    <w:rsid w:val="0B040843"/>
    <w:rsid w:val="0B3710F6"/>
    <w:rsid w:val="0B626F71"/>
    <w:rsid w:val="0B845139"/>
    <w:rsid w:val="0C2835D4"/>
    <w:rsid w:val="0C322DE7"/>
    <w:rsid w:val="0C3E42E1"/>
    <w:rsid w:val="0C8F1FE8"/>
    <w:rsid w:val="0CD67C16"/>
    <w:rsid w:val="0D0F4AF8"/>
    <w:rsid w:val="0D2C6A51"/>
    <w:rsid w:val="0D6841AF"/>
    <w:rsid w:val="0D9E2ED3"/>
    <w:rsid w:val="0DC3019B"/>
    <w:rsid w:val="0E0C0B17"/>
    <w:rsid w:val="0EBF117A"/>
    <w:rsid w:val="0ED65CAC"/>
    <w:rsid w:val="0F4000BA"/>
    <w:rsid w:val="0FE12B5A"/>
    <w:rsid w:val="105E13A5"/>
    <w:rsid w:val="105F1A99"/>
    <w:rsid w:val="106F57BC"/>
    <w:rsid w:val="107735B4"/>
    <w:rsid w:val="10912A5C"/>
    <w:rsid w:val="10BE12C1"/>
    <w:rsid w:val="10F11B01"/>
    <w:rsid w:val="116A49DC"/>
    <w:rsid w:val="1192799E"/>
    <w:rsid w:val="11C63CC0"/>
    <w:rsid w:val="11C646FD"/>
    <w:rsid w:val="11C664AC"/>
    <w:rsid w:val="11EC35E8"/>
    <w:rsid w:val="126239DA"/>
    <w:rsid w:val="136C0825"/>
    <w:rsid w:val="153C05CF"/>
    <w:rsid w:val="15495025"/>
    <w:rsid w:val="154A4608"/>
    <w:rsid w:val="157650E8"/>
    <w:rsid w:val="159F284D"/>
    <w:rsid w:val="15B76792"/>
    <w:rsid w:val="15C40F54"/>
    <w:rsid w:val="16280FDC"/>
    <w:rsid w:val="16796AB9"/>
    <w:rsid w:val="17114434"/>
    <w:rsid w:val="1720726F"/>
    <w:rsid w:val="179901BE"/>
    <w:rsid w:val="17B66550"/>
    <w:rsid w:val="180C1CE4"/>
    <w:rsid w:val="181A30AD"/>
    <w:rsid w:val="1887595F"/>
    <w:rsid w:val="188D7AC8"/>
    <w:rsid w:val="188E2022"/>
    <w:rsid w:val="19C33764"/>
    <w:rsid w:val="1A0933D9"/>
    <w:rsid w:val="1A1158EF"/>
    <w:rsid w:val="1A472175"/>
    <w:rsid w:val="1A501008"/>
    <w:rsid w:val="1AD14C15"/>
    <w:rsid w:val="1B5934FA"/>
    <w:rsid w:val="1B68711F"/>
    <w:rsid w:val="1C0B7AD0"/>
    <w:rsid w:val="1C0D4CD7"/>
    <w:rsid w:val="1C4526C3"/>
    <w:rsid w:val="1CAE2016"/>
    <w:rsid w:val="1CCD7FA6"/>
    <w:rsid w:val="1D3249F5"/>
    <w:rsid w:val="1D5176AB"/>
    <w:rsid w:val="1D557948"/>
    <w:rsid w:val="1D8029D4"/>
    <w:rsid w:val="1DDA41FD"/>
    <w:rsid w:val="1E075E82"/>
    <w:rsid w:val="1E0F0229"/>
    <w:rsid w:val="1E766B63"/>
    <w:rsid w:val="1E921405"/>
    <w:rsid w:val="1EB23C92"/>
    <w:rsid w:val="1ED52308"/>
    <w:rsid w:val="1F1F5A27"/>
    <w:rsid w:val="1F550E6F"/>
    <w:rsid w:val="1F5F584A"/>
    <w:rsid w:val="1F9C28CF"/>
    <w:rsid w:val="1FFD429B"/>
    <w:rsid w:val="20B67FC9"/>
    <w:rsid w:val="211B5472"/>
    <w:rsid w:val="2124258D"/>
    <w:rsid w:val="21995806"/>
    <w:rsid w:val="225C42C2"/>
    <w:rsid w:val="226B0E09"/>
    <w:rsid w:val="229C0B63"/>
    <w:rsid w:val="22A146F2"/>
    <w:rsid w:val="22BA54AB"/>
    <w:rsid w:val="22D60519"/>
    <w:rsid w:val="22D66A2F"/>
    <w:rsid w:val="22FF7354"/>
    <w:rsid w:val="23403DB4"/>
    <w:rsid w:val="23737B15"/>
    <w:rsid w:val="23767606"/>
    <w:rsid w:val="23E53F52"/>
    <w:rsid w:val="249E5066"/>
    <w:rsid w:val="24CD76F9"/>
    <w:rsid w:val="255147A5"/>
    <w:rsid w:val="25562AED"/>
    <w:rsid w:val="255641F8"/>
    <w:rsid w:val="26814DB8"/>
    <w:rsid w:val="26BB18A4"/>
    <w:rsid w:val="271635D9"/>
    <w:rsid w:val="271D68DD"/>
    <w:rsid w:val="27540B3C"/>
    <w:rsid w:val="281C4C20"/>
    <w:rsid w:val="283C5140"/>
    <w:rsid w:val="28594C9C"/>
    <w:rsid w:val="28A32C4B"/>
    <w:rsid w:val="28EE0068"/>
    <w:rsid w:val="293076B9"/>
    <w:rsid w:val="29573470"/>
    <w:rsid w:val="29B97BE1"/>
    <w:rsid w:val="29C94933"/>
    <w:rsid w:val="29D37560"/>
    <w:rsid w:val="29DC2379"/>
    <w:rsid w:val="2A922F77"/>
    <w:rsid w:val="2AE01F34"/>
    <w:rsid w:val="2AF43C32"/>
    <w:rsid w:val="2B30453E"/>
    <w:rsid w:val="2B9C5770"/>
    <w:rsid w:val="2C1F6A8C"/>
    <w:rsid w:val="2C8F3160"/>
    <w:rsid w:val="2CBE39A9"/>
    <w:rsid w:val="2CBF5B79"/>
    <w:rsid w:val="2D1E6D44"/>
    <w:rsid w:val="2D6E78BE"/>
    <w:rsid w:val="2D737010"/>
    <w:rsid w:val="2D8B56A2"/>
    <w:rsid w:val="2D915768"/>
    <w:rsid w:val="2D9A074B"/>
    <w:rsid w:val="2DCE575E"/>
    <w:rsid w:val="2E8C5694"/>
    <w:rsid w:val="2EA339A5"/>
    <w:rsid w:val="2EC102CF"/>
    <w:rsid w:val="2F34284F"/>
    <w:rsid w:val="2F3C4ED9"/>
    <w:rsid w:val="2F41010A"/>
    <w:rsid w:val="2F45678C"/>
    <w:rsid w:val="2F871004"/>
    <w:rsid w:val="2FA55A34"/>
    <w:rsid w:val="30A526A0"/>
    <w:rsid w:val="30EB4C80"/>
    <w:rsid w:val="312E32CE"/>
    <w:rsid w:val="3236068C"/>
    <w:rsid w:val="329B4F01"/>
    <w:rsid w:val="32A222C5"/>
    <w:rsid w:val="32C700BB"/>
    <w:rsid w:val="3398641F"/>
    <w:rsid w:val="33D71DA5"/>
    <w:rsid w:val="34821CCF"/>
    <w:rsid w:val="35034C06"/>
    <w:rsid w:val="35384EC0"/>
    <w:rsid w:val="353969D6"/>
    <w:rsid w:val="35CB1A33"/>
    <w:rsid w:val="360A3666"/>
    <w:rsid w:val="361B13DF"/>
    <w:rsid w:val="361D3234"/>
    <w:rsid w:val="36331A3E"/>
    <w:rsid w:val="365C4E25"/>
    <w:rsid w:val="36991215"/>
    <w:rsid w:val="36D64B0C"/>
    <w:rsid w:val="372E04CB"/>
    <w:rsid w:val="379E73FF"/>
    <w:rsid w:val="38042622"/>
    <w:rsid w:val="38211DDE"/>
    <w:rsid w:val="383608AC"/>
    <w:rsid w:val="386D0B7F"/>
    <w:rsid w:val="38961E84"/>
    <w:rsid w:val="39802684"/>
    <w:rsid w:val="39A60AAD"/>
    <w:rsid w:val="3A5169AB"/>
    <w:rsid w:val="3A5274D5"/>
    <w:rsid w:val="3AFB6916"/>
    <w:rsid w:val="3B7B0D16"/>
    <w:rsid w:val="3BA24A74"/>
    <w:rsid w:val="3C2E0BD3"/>
    <w:rsid w:val="3C6D114E"/>
    <w:rsid w:val="3C90308E"/>
    <w:rsid w:val="3C9C1A33"/>
    <w:rsid w:val="3C9D29D7"/>
    <w:rsid w:val="3CE42DD7"/>
    <w:rsid w:val="3D09356D"/>
    <w:rsid w:val="3D0F68FD"/>
    <w:rsid w:val="3D734E8A"/>
    <w:rsid w:val="3DA077DE"/>
    <w:rsid w:val="3DC2371B"/>
    <w:rsid w:val="3E407687"/>
    <w:rsid w:val="3E5C226F"/>
    <w:rsid w:val="3E7B0239"/>
    <w:rsid w:val="3EA73B7A"/>
    <w:rsid w:val="3EFE5931"/>
    <w:rsid w:val="3F6E5909"/>
    <w:rsid w:val="3F7C162E"/>
    <w:rsid w:val="3FBB6674"/>
    <w:rsid w:val="3FDA2571"/>
    <w:rsid w:val="3FE03515"/>
    <w:rsid w:val="40516DBF"/>
    <w:rsid w:val="40B03723"/>
    <w:rsid w:val="40FA4F7A"/>
    <w:rsid w:val="410C6036"/>
    <w:rsid w:val="41132EB2"/>
    <w:rsid w:val="415C6D0C"/>
    <w:rsid w:val="415D5C35"/>
    <w:rsid w:val="41BD66D4"/>
    <w:rsid w:val="41E00614"/>
    <w:rsid w:val="42424E2B"/>
    <w:rsid w:val="429D2A8B"/>
    <w:rsid w:val="433C187A"/>
    <w:rsid w:val="43675F86"/>
    <w:rsid w:val="43741014"/>
    <w:rsid w:val="43A044FF"/>
    <w:rsid w:val="43F934CD"/>
    <w:rsid w:val="44170FD9"/>
    <w:rsid w:val="44246EDE"/>
    <w:rsid w:val="442742D8"/>
    <w:rsid w:val="445F7F16"/>
    <w:rsid w:val="446019CC"/>
    <w:rsid w:val="4467501D"/>
    <w:rsid w:val="44732758"/>
    <w:rsid w:val="4496320C"/>
    <w:rsid w:val="44BA15F0"/>
    <w:rsid w:val="451B0AE7"/>
    <w:rsid w:val="45212B65"/>
    <w:rsid w:val="45F05A40"/>
    <w:rsid w:val="461E53A0"/>
    <w:rsid w:val="465810C1"/>
    <w:rsid w:val="465927A3"/>
    <w:rsid w:val="471072A6"/>
    <w:rsid w:val="475D18D1"/>
    <w:rsid w:val="47EF7803"/>
    <w:rsid w:val="47F15329"/>
    <w:rsid w:val="48027DC9"/>
    <w:rsid w:val="48AB197C"/>
    <w:rsid w:val="48D2263D"/>
    <w:rsid w:val="49143F5A"/>
    <w:rsid w:val="49387C4F"/>
    <w:rsid w:val="49557B3A"/>
    <w:rsid w:val="49725FF6"/>
    <w:rsid w:val="49BA3FC9"/>
    <w:rsid w:val="4A4650B2"/>
    <w:rsid w:val="4AC47AEB"/>
    <w:rsid w:val="4B423993"/>
    <w:rsid w:val="4B842010"/>
    <w:rsid w:val="4BD0179C"/>
    <w:rsid w:val="4C0F478D"/>
    <w:rsid w:val="4C9E7102"/>
    <w:rsid w:val="4CC07C2C"/>
    <w:rsid w:val="4DCC0E43"/>
    <w:rsid w:val="4DCC72EB"/>
    <w:rsid w:val="4E30022D"/>
    <w:rsid w:val="4E3308C7"/>
    <w:rsid w:val="4E4D1F68"/>
    <w:rsid w:val="4E5E2FEC"/>
    <w:rsid w:val="4ED80FF1"/>
    <w:rsid w:val="4F8C7872"/>
    <w:rsid w:val="4FAB0C20"/>
    <w:rsid w:val="4FBA4253"/>
    <w:rsid w:val="505356BB"/>
    <w:rsid w:val="507E6AE2"/>
    <w:rsid w:val="50942CF5"/>
    <w:rsid w:val="50C2231D"/>
    <w:rsid w:val="51654CA1"/>
    <w:rsid w:val="519B00B4"/>
    <w:rsid w:val="51B01DB1"/>
    <w:rsid w:val="51B80C66"/>
    <w:rsid w:val="51CC4638"/>
    <w:rsid w:val="51E414C7"/>
    <w:rsid w:val="52157E66"/>
    <w:rsid w:val="52505342"/>
    <w:rsid w:val="526C778D"/>
    <w:rsid w:val="52927395"/>
    <w:rsid w:val="52D47D21"/>
    <w:rsid w:val="52FA16B4"/>
    <w:rsid w:val="53013417"/>
    <w:rsid w:val="53081134"/>
    <w:rsid w:val="530D6D8F"/>
    <w:rsid w:val="531351CF"/>
    <w:rsid w:val="5334256E"/>
    <w:rsid w:val="53F57F4F"/>
    <w:rsid w:val="548F6725"/>
    <w:rsid w:val="54B90F7D"/>
    <w:rsid w:val="54CD54A4"/>
    <w:rsid w:val="54E65AEA"/>
    <w:rsid w:val="55200FFC"/>
    <w:rsid w:val="55424CCC"/>
    <w:rsid w:val="562D3491"/>
    <w:rsid w:val="56C67AB9"/>
    <w:rsid w:val="56E30533"/>
    <w:rsid w:val="56EC7104"/>
    <w:rsid w:val="5790373B"/>
    <w:rsid w:val="57AD542C"/>
    <w:rsid w:val="57C068F4"/>
    <w:rsid w:val="58067630"/>
    <w:rsid w:val="583059FA"/>
    <w:rsid w:val="58E11F1F"/>
    <w:rsid w:val="59040D69"/>
    <w:rsid w:val="59142C25"/>
    <w:rsid w:val="59581022"/>
    <w:rsid w:val="599E2E37"/>
    <w:rsid w:val="5A831DF8"/>
    <w:rsid w:val="5A916423"/>
    <w:rsid w:val="5AB62B17"/>
    <w:rsid w:val="5AFC7E15"/>
    <w:rsid w:val="5B073263"/>
    <w:rsid w:val="5B462900"/>
    <w:rsid w:val="5B471E03"/>
    <w:rsid w:val="5BA507BB"/>
    <w:rsid w:val="5BC26D6F"/>
    <w:rsid w:val="5BE03293"/>
    <w:rsid w:val="5BED7335"/>
    <w:rsid w:val="5BF31218"/>
    <w:rsid w:val="5C687BD7"/>
    <w:rsid w:val="5CB21116"/>
    <w:rsid w:val="5CD26421"/>
    <w:rsid w:val="5D2D3862"/>
    <w:rsid w:val="5D3F4CD5"/>
    <w:rsid w:val="5D9B4125"/>
    <w:rsid w:val="5DD72473"/>
    <w:rsid w:val="5DFD1EDF"/>
    <w:rsid w:val="5EA66A16"/>
    <w:rsid w:val="5EA93E10"/>
    <w:rsid w:val="5EC97541"/>
    <w:rsid w:val="5ED0275C"/>
    <w:rsid w:val="5EDD2F87"/>
    <w:rsid w:val="5EE26ACD"/>
    <w:rsid w:val="5EE4209E"/>
    <w:rsid w:val="5EEE3F19"/>
    <w:rsid w:val="5FC43E64"/>
    <w:rsid w:val="5FE5356E"/>
    <w:rsid w:val="601870FA"/>
    <w:rsid w:val="60912840"/>
    <w:rsid w:val="60B47432"/>
    <w:rsid w:val="60D31080"/>
    <w:rsid w:val="60DB04CD"/>
    <w:rsid w:val="610C2771"/>
    <w:rsid w:val="610F079A"/>
    <w:rsid w:val="615053F3"/>
    <w:rsid w:val="617259C9"/>
    <w:rsid w:val="61826579"/>
    <w:rsid w:val="61B05463"/>
    <w:rsid w:val="624F3FF1"/>
    <w:rsid w:val="626F5370"/>
    <w:rsid w:val="62915A06"/>
    <w:rsid w:val="62BE1E54"/>
    <w:rsid w:val="63414F5F"/>
    <w:rsid w:val="634873B4"/>
    <w:rsid w:val="636B6B9E"/>
    <w:rsid w:val="63901BF9"/>
    <w:rsid w:val="639B74B6"/>
    <w:rsid w:val="63BC686D"/>
    <w:rsid w:val="64786F9F"/>
    <w:rsid w:val="64B41760"/>
    <w:rsid w:val="64BA2D78"/>
    <w:rsid w:val="64D951B9"/>
    <w:rsid w:val="65183204"/>
    <w:rsid w:val="656C3DE9"/>
    <w:rsid w:val="665C20B0"/>
    <w:rsid w:val="66C0619B"/>
    <w:rsid w:val="66D07453"/>
    <w:rsid w:val="66DB6D33"/>
    <w:rsid w:val="67065B78"/>
    <w:rsid w:val="675F0394"/>
    <w:rsid w:val="67A0522F"/>
    <w:rsid w:val="68394457"/>
    <w:rsid w:val="68EB0A49"/>
    <w:rsid w:val="68F26CC4"/>
    <w:rsid w:val="694738C3"/>
    <w:rsid w:val="6965127B"/>
    <w:rsid w:val="69BD2B6E"/>
    <w:rsid w:val="6A1A42F1"/>
    <w:rsid w:val="6A966B1A"/>
    <w:rsid w:val="6A9B51EE"/>
    <w:rsid w:val="6B0F149F"/>
    <w:rsid w:val="6B2A277C"/>
    <w:rsid w:val="6B8A1AB8"/>
    <w:rsid w:val="6B96399C"/>
    <w:rsid w:val="6C733CAF"/>
    <w:rsid w:val="6C7D4B2E"/>
    <w:rsid w:val="6C935275"/>
    <w:rsid w:val="6CF11A3A"/>
    <w:rsid w:val="6CFA25FB"/>
    <w:rsid w:val="6D1B05CF"/>
    <w:rsid w:val="6D521B17"/>
    <w:rsid w:val="6DA60F09"/>
    <w:rsid w:val="6DCC18C9"/>
    <w:rsid w:val="6DEB6C80"/>
    <w:rsid w:val="6DEE3EEB"/>
    <w:rsid w:val="6E0948CB"/>
    <w:rsid w:val="6EAA7F4D"/>
    <w:rsid w:val="6EBE3907"/>
    <w:rsid w:val="6F5619E0"/>
    <w:rsid w:val="706B4D93"/>
    <w:rsid w:val="70783A62"/>
    <w:rsid w:val="70D213F8"/>
    <w:rsid w:val="70F76C5D"/>
    <w:rsid w:val="711E2A56"/>
    <w:rsid w:val="71493231"/>
    <w:rsid w:val="719373A8"/>
    <w:rsid w:val="72360EAF"/>
    <w:rsid w:val="72DA6836"/>
    <w:rsid w:val="732971FC"/>
    <w:rsid w:val="732D105C"/>
    <w:rsid w:val="7395275D"/>
    <w:rsid w:val="73D634A1"/>
    <w:rsid w:val="73F12690"/>
    <w:rsid w:val="741B054F"/>
    <w:rsid w:val="74234EB6"/>
    <w:rsid w:val="74635F9F"/>
    <w:rsid w:val="747F6622"/>
    <w:rsid w:val="74873414"/>
    <w:rsid w:val="74B131B4"/>
    <w:rsid w:val="74B369B0"/>
    <w:rsid w:val="750000AA"/>
    <w:rsid w:val="75253ECA"/>
    <w:rsid w:val="75E579CC"/>
    <w:rsid w:val="7620792E"/>
    <w:rsid w:val="76404C02"/>
    <w:rsid w:val="77040325"/>
    <w:rsid w:val="775B5A6C"/>
    <w:rsid w:val="77A567AA"/>
    <w:rsid w:val="77A64F39"/>
    <w:rsid w:val="77C81353"/>
    <w:rsid w:val="77CD11F2"/>
    <w:rsid w:val="77DF26E3"/>
    <w:rsid w:val="77F141D8"/>
    <w:rsid w:val="78116B6B"/>
    <w:rsid w:val="78317827"/>
    <w:rsid w:val="78381D1A"/>
    <w:rsid w:val="78B638A1"/>
    <w:rsid w:val="78EF46BD"/>
    <w:rsid w:val="792D681D"/>
    <w:rsid w:val="793830BA"/>
    <w:rsid w:val="79991A2D"/>
    <w:rsid w:val="79BC4B92"/>
    <w:rsid w:val="7A377DF8"/>
    <w:rsid w:val="7A88301C"/>
    <w:rsid w:val="7B2E27CC"/>
    <w:rsid w:val="7B663B8D"/>
    <w:rsid w:val="7B907A76"/>
    <w:rsid w:val="7BBB7E38"/>
    <w:rsid w:val="7BC10593"/>
    <w:rsid w:val="7C2C12AD"/>
    <w:rsid w:val="7C66113B"/>
    <w:rsid w:val="7D0920D7"/>
    <w:rsid w:val="7D2572D7"/>
    <w:rsid w:val="7D331D7F"/>
    <w:rsid w:val="7D781125"/>
    <w:rsid w:val="7DA4016C"/>
    <w:rsid w:val="7DB67EA0"/>
    <w:rsid w:val="7DCF7863"/>
    <w:rsid w:val="7DDF5E47"/>
    <w:rsid w:val="7DE11416"/>
    <w:rsid w:val="7E152ACD"/>
    <w:rsid w:val="7E284750"/>
    <w:rsid w:val="7E6D67B0"/>
    <w:rsid w:val="7EAB29C4"/>
    <w:rsid w:val="7EE7108C"/>
    <w:rsid w:val="7F201A75"/>
    <w:rsid w:val="7F63196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sdException w:uiPriority="99" w:name="footnote text"/>
    <w:lsdException w:qFormat="1" w:uiPriority="0" w:semiHidden="0"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0" w:semiHidden="0"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99"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locked/>
    <w:uiPriority w:val="0"/>
    <w:pPr>
      <w:keepNext/>
      <w:keepLines/>
      <w:spacing w:before="340" w:after="330"/>
      <w:outlineLvl w:val="0"/>
    </w:pPr>
    <w:rPr>
      <w:rFonts w:eastAsia="楷体"/>
      <w:b/>
      <w:bCs/>
      <w:kern w:val="44"/>
      <w:sz w:val="24"/>
      <w:szCs w:val="44"/>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sz w:val="28"/>
      <w:szCs w:val="28"/>
    </w:rPr>
  </w:style>
  <w:style w:type="paragraph" w:styleId="4">
    <w:name w:val="Normal Indent"/>
    <w:basedOn w:val="1"/>
    <w:qFormat/>
    <w:uiPriority w:val="0"/>
    <w:pPr>
      <w:ind w:firstLine="420" w:firstLineChars="200"/>
    </w:pPr>
  </w:style>
  <w:style w:type="paragraph" w:styleId="5">
    <w:name w:val="annotation text"/>
    <w:basedOn w:val="1"/>
    <w:link w:val="27"/>
    <w:unhideWhenUsed/>
    <w:qFormat/>
    <w:uiPriority w:val="0"/>
    <w:pPr>
      <w:jc w:val="left"/>
    </w:pPr>
  </w:style>
  <w:style w:type="paragraph" w:styleId="6">
    <w:name w:val="Body Text"/>
    <w:basedOn w:val="1"/>
    <w:next w:val="7"/>
    <w:qFormat/>
    <w:uiPriority w:val="0"/>
    <w:pPr>
      <w:spacing w:after="120"/>
    </w:pPr>
  </w:style>
  <w:style w:type="paragraph" w:styleId="7">
    <w:name w:val="Date"/>
    <w:basedOn w:val="1"/>
    <w:next w:val="1"/>
    <w:qFormat/>
    <w:uiPriority w:val="0"/>
    <w:pPr>
      <w:ind w:left="100" w:leftChars="2500"/>
    </w:pPr>
    <w:rPr>
      <w:rFonts w:ascii="宋体" w:hAnsi="宋体"/>
      <w:szCs w:val="24"/>
    </w:rPr>
  </w:style>
  <w:style w:type="paragraph" w:styleId="8">
    <w:name w:val="Body Text Indent"/>
    <w:basedOn w:val="1"/>
    <w:qFormat/>
    <w:uiPriority w:val="0"/>
    <w:pPr>
      <w:ind w:right="-100" w:firstLine="560" w:firstLineChars="200"/>
    </w:pPr>
    <w:rPr>
      <w:sz w:val="28"/>
    </w:rPr>
  </w:style>
  <w:style w:type="paragraph" w:styleId="9">
    <w:name w:val="Plain Text"/>
    <w:basedOn w:val="1"/>
    <w:semiHidden/>
    <w:unhideWhenUsed/>
    <w:qFormat/>
    <w:uiPriority w:val="99"/>
    <w:rPr>
      <w:rFonts w:ascii="宋体" w:hAnsi="Courier New" w:cs="Courier New"/>
      <w:szCs w:val="21"/>
    </w:rPr>
  </w:style>
  <w:style w:type="paragraph" w:styleId="10">
    <w:name w:val="Balloon Text"/>
    <w:basedOn w:val="1"/>
    <w:link w:val="25"/>
    <w:semiHidden/>
    <w:unhideWhenUsed/>
    <w:qFormat/>
    <w:uiPriority w:val="99"/>
    <w:rPr>
      <w:sz w:val="18"/>
      <w:szCs w:val="18"/>
    </w:rPr>
  </w:style>
  <w:style w:type="paragraph" w:styleId="11">
    <w:name w:val="footer"/>
    <w:basedOn w:val="1"/>
    <w:link w:val="20"/>
    <w:semiHidden/>
    <w:qFormat/>
    <w:uiPriority w:val="99"/>
    <w:pPr>
      <w:tabs>
        <w:tab w:val="center" w:pos="4153"/>
        <w:tab w:val="right" w:pos="8306"/>
      </w:tabs>
      <w:snapToGrid w:val="0"/>
      <w:jc w:val="left"/>
    </w:pPr>
    <w:rPr>
      <w:sz w:val="18"/>
      <w:szCs w:val="18"/>
    </w:rPr>
  </w:style>
  <w:style w:type="paragraph" w:styleId="12">
    <w:name w:val="header"/>
    <w:basedOn w:val="1"/>
    <w:link w:val="19"/>
    <w:semiHidden/>
    <w:qFormat/>
    <w:uiPriority w:val="99"/>
    <w:pPr>
      <w:pBdr>
        <w:bottom w:val="single" w:color="auto" w:sz="6" w:space="1"/>
      </w:pBdr>
      <w:tabs>
        <w:tab w:val="center" w:pos="4153"/>
        <w:tab w:val="right" w:pos="8306"/>
      </w:tabs>
      <w:snapToGrid w:val="0"/>
      <w:jc w:val="center"/>
    </w:pPr>
    <w:rPr>
      <w:sz w:val="18"/>
      <w:szCs w:val="18"/>
    </w:rPr>
  </w:style>
  <w:style w:type="paragraph" w:styleId="13">
    <w:name w:val="List"/>
    <w:basedOn w:val="1"/>
    <w:unhideWhenUsed/>
    <w:qFormat/>
    <w:uiPriority w:val="99"/>
    <w:pPr>
      <w:spacing w:line="320" w:lineRule="exact"/>
      <w:jc w:val="center"/>
    </w:pPr>
    <w:rPr>
      <w:sz w:val="20"/>
    </w:rPr>
  </w:style>
  <w:style w:type="paragraph" w:styleId="14">
    <w:name w:val="Body Text First Indent 2"/>
    <w:basedOn w:val="8"/>
    <w:qFormat/>
    <w:uiPriority w:val="0"/>
    <w:pPr>
      <w:ind w:firstLine="420"/>
    </w:pPr>
  </w:style>
  <w:style w:type="table" w:styleId="16">
    <w:name w:val="Table Grid"/>
    <w:basedOn w:val="15"/>
    <w:qFormat/>
    <w:locked/>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8">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character" w:customStyle="1" w:styleId="19">
    <w:name w:val="页眉 Char"/>
    <w:basedOn w:val="17"/>
    <w:link w:val="12"/>
    <w:semiHidden/>
    <w:qFormat/>
    <w:locked/>
    <w:uiPriority w:val="99"/>
    <w:rPr>
      <w:rFonts w:cs="Times New Roman"/>
      <w:sz w:val="18"/>
      <w:szCs w:val="18"/>
    </w:rPr>
  </w:style>
  <w:style w:type="character" w:customStyle="1" w:styleId="20">
    <w:name w:val="页脚 Char"/>
    <w:basedOn w:val="17"/>
    <w:link w:val="11"/>
    <w:semiHidden/>
    <w:qFormat/>
    <w:locked/>
    <w:uiPriority w:val="99"/>
    <w:rPr>
      <w:rFonts w:cs="Times New Roman"/>
      <w:sz w:val="18"/>
      <w:szCs w:val="18"/>
    </w:rPr>
  </w:style>
  <w:style w:type="paragraph" w:styleId="21">
    <w:name w:val="List Paragraph"/>
    <w:basedOn w:val="1"/>
    <w:qFormat/>
    <w:uiPriority w:val="99"/>
    <w:pPr>
      <w:ind w:firstLine="420" w:firstLineChars="200"/>
    </w:pPr>
  </w:style>
  <w:style w:type="character" w:customStyle="1" w:styleId="22">
    <w:name w:val="正1 Char"/>
    <w:link w:val="23"/>
    <w:qFormat/>
    <w:locked/>
    <w:uiPriority w:val="99"/>
    <w:rPr>
      <w:rFonts w:eastAsia="楷体_GB2312"/>
      <w:sz w:val="24"/>
    </w:rPr>
  </w:style>
  <w:style w:type="paragraph" w:customStyle="1" w:styleId="23">
    <w:name w:val="正1"/>
    <w:basedOn w:val="1"/>
    <w:link w:val="22"/>
    <w:qFormat/>
    <w:uiPriority w:val="99"/>
    <w:pPr>
      <w:spacing w:line="360" w:lineRule="auto"/>
      <w:ind w:firstLine="200" w:firstLineChars="200"/>
      <w:jc w:val="left"/>
    </w:pPr>
    <w:rPr>
      <w:rFonts w:ascii="Calibri" w:hAnsi="Calibri" w:eastAsia="楷体_GB2312"/>
      <w:kern w:val="0"/>
      <w:sz w:val="24"/>
    </w:rPr>
  </w:style>
  <w:style w:type="paragraph" w:customStyle="1" w:styleId="24">
    <w:name w:val="Char Char Char Char Char Char Char"/>
    <w:basedOn w:val="1"/>
    <w:qFormat/>
    <w:uiPriority w:val="99"/>
  </w:style>
  <w:style w:type="character" w:customStyle="1" w:styleId="25">
    <w:name w:val="批注框文本 Char"/>
    <w:basedOn w:val="17"/>
    <w:link w:val="10"/>
    <w:semiHidden/>
    <w:qFormat/>
    <w:uiPriority w:val="99"/>
    <w:rPr>
      <w:rFonts w:ascii="Times New Roman" w:hAnsi="Times New Roman"/>
      <w:kern w:val="2"/>
      <w:sz w:val="18"/>
      <w:szCs w:val="18"/>
    </w:rPr>
  </w:style>
  <w:style w:type="paragraph" w:customStyle="1" w:styleId="26">
    <w:name w:val="报告表正文"/>
    <w:basedOn w:val="1"/>
    <w:qFormat/>
    <w:uiPriority w:val="0"/>
    <w:pPr>
      <w:tabs>
        <w:tab w:val="left" w:pos="7560"/>
      </w:tabs>
      <w:adjustRightInd w:val="0"/>
      <w:spacing w:line="360" w:lineRule="auto"/>
      <w:ind w:firstLine="480" w:firstLineChars="200"/>
    </w:pPr>
    <w:rPr>
      <w:bCs/>
      <w:sz w:val="24"/>
    </w:rPr>
  </w:style>
  <w:style w:type="character" w:customStyle="1" w:styleId="27">
    <w:name w:val="批注文字 Char"/>
    <w:basedOn w:val="17"/>
    <w:link w:val="5"/>
    <w:qFormat/>
    <w:uiPriority w:val="0"/>
    <w:rPr>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3352</Words>
  <Characters>3600</Characters>
  <Lines>19</Lines>
  <Paragraphs>5</Paragraphs>
  <TotalTime>116</TotalTime>
  <ScaleCrop>false</ScaleCrop>
  <LinksUpToDate>false</LinksUpToDate>
  <CharactersWithSpaces>3665</CharactersWithSpaces>
  <Application>WPS Office_11.1.0.11753_F1E327BC-269C-435d-A152-05C5408002CA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2018-02-05T11:03:00Z</dcterms:created>
  <dc:creator>微软用户</dc:creator>
  <cp:lastModifiedBy>Administrator</cp:lastModifiedBy>
  <cp:lastPrinted>2020-11-14T08:39:00Z</cp:lastPrinted>
  <dcterms:modified xsi:type="dcterms:W3CDTF">2022-07-01T01:57:04Z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2052-11.1.0.11753</vt:lpwstr>
  </property>
  <property fmtid="{D5CDD505-2E9C-101B-9397-08002B2CF9AE}" pid="3" name="ICV">
    <vt:lpwstr>90D7E0AED39D467A811A102725140C7A</vt:lpwstr>
  </property>
</Properties>
</file>