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eastAsia" w:cs="Times New Roman"/>
          <w:b/>
          <w:bCs/>
          <w:sz w:val="28"/>
          <w:szCs w:val="28"/>
          <w:lang w:eastAsia="zh-CN"/>
        </w:rPr>
        <w:t>东阿县御颜堂阿胶制品有限公司年产5380吨阿胶系列产品项目（一期）</w:t>
      </w: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rPr>
        <w:t xml:space="preserve"> </w:t>
      </w: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4"/>
        </w:rPr>
        <w:t>202</w:t>
      </w:r>
      <w:r>
        <w:rPr>
          <w:rFonts w:hint="eastAsia" w:cs="Times New Roman" w:eastAsiaTheme="minorEastAsia"/>
          <w:sz w:val="24"/>
          <w:lang w:val="en-US" w:eastAsia="zh-CN"/>
        </w:rPr>
        <w:t>2</w:t>
      </w:r>
      <w:r>
        <w:rPr>
          <w:rFonts w:hint="default" w:ascii="Times New Roman" w:hAnsi="Times New Roman" w:cs="Times New Roman" w:eastAsiaTheme="minorEastAsia"/>
          <w:sz w:val="24"/>
        </w:rPr>
        <w:t>年</w:t>
      </w:r>
      <w:r>
        <w:rPr>
          <w:rFonts w:hint="eastAsia" w:cs="Times New Roman" w:eastAsiaTheme="minorEastAsia"/>
          <w:sz w:val="24"/>
          <w:lang w:val="en-US" w:eastAsia="zh-CN"/>
        </w:rPr>
        <w:t>06</w:t>
      </w:r>
      <w:r>
        <w:rPr>
          <w:rFonts w:hint="default" w:ascii="Times New Roman" w:hAnsi="Times New Roman" w:cs="Times New Roman" w:eastAsiaTheme="minorEastAsia"/>
          <w:sz w:val="24"/>
        </w:rPr>
        <w:t>月</w:t>
      </w:r>
      <w:r>
        <w:rPr>
          <w:rFonts w:hint="eastAsia" w:cs="Times New Roman" w:eastAsiaTheme="minorEastAsia"/>
          <w:sz w:val="24"/>
          <w:lang w:val="en-US" w:eastAsia="zh-CN"/>
        </w:rPr>
        <w:t>04</w:t>
      </w:r>
      <w:r>
        <w:rPr>
          <w:rFonts w:hint="default" w:ascii="Times New Roman" w:hAnsi="Times New Roman" w:cs="Times New Roman" w:eastAsiaTheme="minorEastAsia"/>
          <w:sz w:val="24"/>
        </w:rPr>
        <w:t>日，</w:t>
      </w:r>
      <w:r>
        <w:rPr>
          <w:rFonts w:hint="eastAsia" w:cs="Times New Roman" w:eastAsiaTheme="minorEastAsia"/>
          <w:sz w:val="24"/>
          <w:lang w:eastAsia="zh-CN"/>
        </w:rPr>
        <w:t>东阿县御颜堂阿胶制品有限公司</w:t>
      </w:r>
      <w:r>
        <w:rPr>
          <w:rFonts w:hint="default" w:ascii="Times New Roman" w:hAnsi="Times New Roman" w:cs="Times New Roman" w:eastAsiaTheme="minorEastAsia"/>
          <w:sz w:val="24"/>
        </w:rPr>
        <w:t>组织召开公司</w:t>
      </w:r>
      <w:r>
        <w:rPr>
          <w:rFonts w:hint="eastAsia" w:cs="Times New Roman" w:eastAsiaTheme="minorEastAsia"/>
          <w:sz w:val="24"/>
          <w:lang w:eastAsia="zh-CN"/>
        </w:rPr>
        <w:t>年产5380吨阿胶系列产品项目（一期）</w:t>
      </w:r>
      <w:r>
        <w:rPr>
          <w:rFonts w:hint="default" w:ascii="Times New Roman" w:hAnsi="Times New Roman" w:cs="Times New Roman" w:eastAsiaTheme="minorEastAsia"/>
          <w:sz w:val="24"/>
        </w:rPr>
        <w:t>竣工环境保护验收现场检查及验收会。验收工作组由工程建设单位（</w:t>
      </w:r>
      <w:r>
        <w:rPr>
          <w:rFonts w:hint="eastAsia" w:cs="Times New Roman" w:eastAsiaTheme="minorEastAsia"/>
          <w:sz w:val="24"/>
          <w:lang w:eastAsia="zh-CN"/>
        </w:rPr>
        <w:t xml:space="preserve">东阿县御颜堂阿胶制品有限公司 </w:t>
      </w:r>
      <w:r>
        <w:rPr>
          <w:rFonts w:hint="default" w:ascii="Times New Roman" w:hAnsi="Times New Roman" w:cs="Times New Roman" w:eastAsiaTheme="minorEastAsia"/>
          <w:sz w:val="24"/>
        </w:rPr>
        <w:t>）、检测单位（山东聊和环保科技有限公司）、报告编制单位（山东绿和环保咨询有限公司）并特邀2名技术专家（名单附后）组成。</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东阿县御颜堂阿胶制品有限公司</w:t>
      </w:r>
      <w:r>
        <w:rPr>
          <w:rFonts w:hint="default" w:ascii="Times New Roman" w:hAnsi="Times New Roman" w:eastAsia="宋体" w:cs="Times New Roman"/>
          <w:color w:val="auto"/>
          <w:sz w:val="24"/>
          <w:szCs w:val="24"/>
        </w:rPr>
        <w:t>位于</w:t>
      </w:r>
      <w:r>
        <w:rPr>
          <w:rFonts w:hint="default" w:ascii="Times New Roman" w:hAnsi="Times New Roman" w:eastAsia="宋体" w:cs="Times New Roman"/>
          <w:color w:val="auto"/>
          <w:sz w:val="24"/>
          <w:szCs w:val="24"/>
          <w:lang w:eastAsia="zh-CN"/>
        </w:rPr>
        <w:t>山东省聊城市东阿县经济开发区香江路北首路东</w:t>
      </w:r>
      <w:r>
        <w:rPr>
          <w:rFonts w:hint="default" w:ascii="Times New Roman" w:hAnsi="Times New Roman" w:cs="Times New Roman"/>
          <w:color w:val="auto"/>
          <w:sz w:val="24"/>
          <w:szCs w:val="24"/>
          <w:lang w:eastAsia="zh-CN"/>
        </w:rPr>
        <w:t>，租赁东阿中润阿胶有限公司场地，利用原有厂房作为生产车间，新建办公楼及污水站</w:t>
      </w:r>
      <w:r>
        <w:rPr>
          <w:rFonts w:hint="default" w:ascii="Times New Roman" w:hAnsi="Times New Roman" w:eastAsia="宋体" w:cs="Times New Roman"/>
          <w:color w:val="auto"/>
          <w:sz w:val="24"/>
          <w:szCs w:val="24"/>
        </w:rPr>
        <w:t>。公司</w:t>
      </w:r>
      <w:r>
        <w:rPr>
          <w:rFonts w:hint="default" w:ascii="Times New Roman" w:hAnsi="Times New Roman" w:eastAsia="宋体" w:cs="Times New Roman"/>
          <w:color w:val="auto"/>
          <w:sz w:val="24"/>
          <w:szCs w:val="24"/>
          <w:lang w:eastAsia="zh-CN"/>
        </w:rPr>
        <w:t>预计</w:t>
      </w:r>
      <w:r>
        <w:rPr>
          <w:rFonts w:hint="default" w:ascii="Times New Roman" w:hAnsi="Times New Roman" w:eastAsia="宋体" w:cs="Times New Roman"/>
          <w:color w:val="auto"/>
          <w:sz w:val="24"/>
          <w:szCs w:val="24"/>
        </w:rPr>
        <w:t>总投资</w:t>
      </w:r>
      <w:r>
        <w:rPr>
          <w:rFonts w:hint="default" w:ascii="Times New Roman" w:hAnsi="Times New Roman" w:eastAsia="宋体" w:cs="Times New Roman"/>
          <w:color w:val="auto"/>
          <w:sz w:val="24"/>
          <w:szCs w:val="24"/>
          <w:lang w:val="en-US" w:eastAsia="zh-CN"/>
        </w:rPr>
        <w:t>15500</w:t>
      </w:r>
      <w:r>
        <w:rPr>
          <w:rFonts w:hint="default" w:ascii="Times New Roman" w:hAnsi="Times New Roman" w:eastAsia="宋体" w:cs="Times New Roman"/>
          <w:color w:val="auto"/>
          <w:sz w:val="24"/>
          <w:szCs w:val="24"/>
          <w:lang w:eastAsia="zh-CN"/>
        </w:rPr>
        <w:t>万</w:t>
      </w:r>
      <w:r>
        <w:rPr>
          <w:rFonts w:hint="default" w:ascii="Times New Roman" w:hAnsi="Times New Roman" w:eastAsia="宋体" w:cs="Times New Roman"/>
          <w:color w:val="auto"/>
          <w:sz w:val="24"/>
          <w:szCs w:val="24"/>
        </w:rPr>
        <w:t>元，占地面积</w:t>
      </w:r>
      <w:r>
        <w:rPr>
          <w:rFonts w:hint="default" w:ascii="Times New Roman" w:hAnsi="Times New Roman" w:eastAsia="宋体" w:cs="Times New Roman"/>
          <w:color w:val="auto"/>
          <w:sz w:val="24"/>
          <w:szCs w:val="24"/>
          <w:lang w:val="en-US" w:eastAsia="zh-CN"/>
        </w:rPr>
        <w:t>49385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，购置蒸球、蒸发罐夹层锅、分离机、隧道烘干机、提沫机、粉碎机、烘干机等设施设备</w:t>
      </w:r>
      <w:r>
        <w:rPr>
          <w:rFonts w:hint="eastAsia" w:cs="Times New Roman"/>
          <w:color w:val="auto"/>
          <w:sz w:val="24"/>
          <w:szCs w:val="24"/>
          <w:lang w:eastAsia="zh-CN"/>
        </w:rPr>
        <w:t>，</w:t>
      </w:r>
      <w:r>
        <w:rPr>
          <w:rFonts w:hint="default" w:ascii="Times New Roman" w:hAnsi="Times New Roman" w:eastAsia="宋体" w:cs="Times New Roman"/>
          <w:color w:val="auto"/>
          <w:sz w:val="24"/>
          <w:szCs w:val="24"/>
          <w:lang w:eastAsia="zh-CN"/>
        </w:rPr>
        <w:t>建设年产5380吨阿胶系列产品项目</w:t>
      </w:r>
      <w:r>
        <w:rPr>
          <w:rFonts w:hint="default" w:ascii="Times New Roman" w:hAnsi="Times New Roman" w:eastAsia="宋体" w:cs="Times New Roman"/>
          <w:color w:val="auto"/>
          <w:sz w:val="24"/>
          <w:szCs w:val="24"/>
          <w:lang w:val="en-US" w:eastAsia="zh-CN"/>
        </w:rPr>
        <w:t>，企业由于资金问题，</w:t>
      </w:r>
      <w:r>
        <w:rPr>
          <w:rFonts w:hint="default" w:ascii="Times New Roman" w:hAnsi="Times New Roman" w:eastAsia="宋体" w:cs="Times New Roman"/>
          <w:color w:val="auto"/>
          <w:sz w:val="24"/>
          <w:szCs w:val="24"/>
          <w:lang w:eastAsia="zh-CN"/>
        </w:rPr>
        <w:t>部分设备未上齐</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项目分期验收，本次验收为一期，一期实际投资</w:t>
      </w:r>
      <w:r>
        <w:rPr>
          <w:rFonts w:hint="default" w:ascii="Times New Roman" w:hAnsi="Times New Roman" w:eastAsia="宋体" w:cs="Times New Roman"/>
          <w:color w:val="auto"/>
          <w:sz w:val="24"/>
          <w:szCs w:val="24"/>
          <w:lang w:val="en-US" w:eastAsia="zh-CN"/>
        </w:rPr>
        <w:t>10000</w:t>
      </w:r>
      <w:r>
        <w:rPr>
          <w:rFonts w:hint="default" w:ascii="Times New Roman" w:hAnsi="Times New Roman" w:eastAsia="宋体" w:cs="Times New Roman"/>
          <w:color w:val="auto"/>
          <w:sz w:val="24"/>
          <w:szCs w:val="24"/>
          <w:lang w:eastAsia="zh-CN"/>
        </w:rPr>
        <w:t>万元，</w:t>
      </w:r>
      <w:r>
        <w:rPr>
          <w:rFonts w:hint="eastAsia" w:cs="Times New Roman"/>
          <w:color w:val="auto"/>
          <w:sz w:val="24"/>
          <w:szCs w:val="24"/>
          <w:lang w:eastAsia="zh-CN"/>
        </w:rPr>
        <w:t>生产规模可达</w:t>
      </w:r>
      <w:r>
        <w:rPr>
          <w:rFonts w:hint="default" w:ascii="Times New Roman" w:hAnsi="Times New Roman" w:eastAsia="宋体" w:cs="Times New Roman"/>
          <w:color w:val="auto"/>
          <w:sz w:val="24"/>
          <w:szCs w:val="24"/>
          <w:lang w:eastAsia="zh-CN"/>
        </w:rPr>
        <w:t>年产</w:t>
      </w:r>
      <w:r>
        <w:rPr>
          <w:rFonts w:hint="default" w:ascii="Times New Roman" w:hAnsi="Times New Roman" w:eastAsia="宋体" w:cs="Times New Roman"/>
          <w:color w:val="auto"/>
          <w:sz w:val="24"/>
          <w:szCs w:val="24"/>
          <w:lang w:val="en-US" w:eastAsia="zh-CN"/>
        </w:rPr>
        <w:t>4520吨阿胶系列产品项目</w:t>
      </w:r>
      <w:r>
        <w:rPr>
          <w:rFonts w:hint="default" w:ascii="Times New Roman" w:hAnsi="Times New Roman" w:eastAsia="宋体" w:cs="Times New Roman"/>
          <w:color w:val="auto"/>
          <w:sz w:val="24"/>
          <w:szCs w:val="24"/>
        </w:rPr>
        <w:t>。</w:t>
      </w:r>
    </w:p>
    <w:p>
      <w:pPr>
        <w:keepNext w:val="0"/>
        <w:keepLines w:val="0"/>
        <w:pageBreakBefore w:val="0"/>
        <w:tabs>
          <w:tab w:val="left" w:pos="360"/>
        </w:tabs>
        <w:kinsoku/>
        <w:wordWrap/>
        <w:overflowPunct/>
        <w:topLinePunct w:val="0"/>
        <w:autoSpaceDE/>
        <w:autoSpaceDN/>
        <w:bidi w:val="0"/>
        <w:spacing w:line="384" w:lineRule="auto"/>
        <w:ind w:firstLine="240" w:firstLineChars="100"/>
        <w:jc w:val="left"/>
        <w:textAlignment w:val="auto"/>
        <w:rPr>
          <w:rFonts w:hint="default" w:ascii="Times New Roman" w:hAnsi="Times New Roman" w:cs="Times New Roman" w:eastAsiaTheme="majorEastAsia"/>
          <w:sz w:val="24"/>
          <w:highlight w:val="none"/>
        </w:rPr>
      </w:pPr>
      <w:r>
        <w:rPr>
          <w:rFonts w:hint="default" w:ascii="Times New Roman" w:hAnsi="Times New Roman" w:cs="Times New Roman" w:eastAsiaTheme="majorEastAsia"/>
          <w:sz w:val="24"/>
          <w:highlight w:val="none"/>
        </w:rPr>
        <w:t>（2）环保审批情况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kern w:val="0"/>
          <w:sz w:val="24"/>
          <w:szCs w:val="24"/>
          <w:highlight w:val="none"/>
          <w:lang w:eastAsia="zh-CN"/>
        </w:rPr>
        <w:t>本</w:t>
      </w:r>
      <w:r>
        <w:rPr>
          <w:rFonts w:hint="default" w:ascii="Times New Roman" w:hAnsi="Times New Roman" w:cs="Times New Roman"/>
          <w:color w:val="auto"/>
          <w:kern w:val="0"/>
          <w:sz w:val="24"/>
          <w:szCs w:val="24"/>
          <w:highlight w:val="none"/>
          <w:lang w:val="en-US" w:eastAsia="zh-CN"/>
        </w:rPr>
        <w:t>项目</w:t>
      </w:r>
      <w:r>
        <w:rPr>
          <w:rFonts w:hint="default" w:ascii="Times New Roman" w:hAnsi="Times New Roman" w:cs="Times New Roman"/>
          <w:color w:val="auto"/>
          <w:kern w:val="0"/>
          <w:sz w:val="24"/>
          <w:szCs w:val="24"/>
          <w:highlight w:val="none"/>
          <w:lang w:eastAsia="zh-CN"/>
        </w:rPr>
        <w:t>为</w:t>
      </w:r>
      <w:r>
        <w:rPr>
          <w:rFonts w:hint="default" w:ascii="Times New Roman" w:hAnsi="Times New Roman" w:cs="Times New Roman"/>
          <w:color w:val="auto"/>
          <w:kern w:val="0"/>
          <w:sz w:val="24"/>
          <w:szCs w:val="24"/>
          <w:lang w:eastAsia="zh-CN"/>
        </w:rPr>
        <w:t>新建项目，</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21</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1</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eastAsia="zh-CN"/>
        </w:rPr>
        <w:t>东阿县御颜堂阿胶制品有限公司</w:t>
      </w:r>
      <w:r>
        <w:rPr>
          <w:rFonts w:hint="default" w:ascii="Times New Roman" w:hAnsi="Times New Roman" w:eastAsia="宋体" w:cs="Times New Roman"/>
          <w:color w:val="auto"/>
          <w:sz w:val="24"/>
          <w:szCs w:val="24"/>
        </w:rPr>
        <w:t>委托</w:t>
      </w:r>
      <w:r>
        <w:rPr>
          <w:rFonts w:hint="default" w:ascii="Times New Roman" w:hAnsi="Times New Roman" w:cs="Times New Roman"/>
          <w:color w:val="auto"/>
          <w:sz w:val="24"/>
          <w:szCs w:val="24"/>
          <w:lang w:eastAsia="zh-CN"/>
        </w:rPr>
        <w:t>山东坤源环境技术有限公司</w:t>
      </w:r>
      <w:r>
        <w:rPr>
          <w:rFonts w:hint="default" w:ascii="Times New Roman" w:hAnsi="Times New Roman" w:eastAsia="宋体" w:cs="Times New Roman"/>
          <w:color w:val="auto"/>
          <w:kern w:val="0"/>
          <w:sz w:val="24"/>
          <w:szCs w:val="24"/>
        </w:rPr>
        <w:t>编制了《</w:t>
      </w:r>
      <w:r>
        <w:rPr>
          <w:rFonts w:hint="default" w:ascii="Times New Roman" w:hAnsi="Times New Roman" w:cs="Times New Roman"/>
          <w:color w:val="auto"/>
          <w:sz w:val="24"/>
          <w:szCs w:val="24"/>
          <w:lang w:eastAsia="zh-CN"/>
        </w:rPr>
        <w:t>东阿县御颜堂阿胶制品有限公司</w:t>
      </w:r>
      <w:r>
        <w:rPr>
          <w:rFonts w:hint="default" w:ascii="Times New Roman" w:hAnsi="Times New Roman" w:cs="Times New Roman"/>
          <w:color w:val="auto"/>
          <w:kern w:val="0"/>
          <w:sz w:val="24"/>
          <w:szCs w:val="24"/>
          <w:lang w:eastAsia="zh-CN"/>
        </w:rPr>
        <w:t>年产5380吨阿胶系列产品项目</w:t>
      </w:r>
      <w:r>
        <w:rPr>
          <w:rFonts w:hint="default" w:ascii="Times New Roman" w:hAnsi="Times New Roman" w:eastAsia="宋体" w:cs="Times New Roman"/>
          <w:color w:val="auto"/>
          <w:sz w:val="24"/>
          <w:szCs w:val="24"/>
        </w:rPr>
        <w:t>环境影响报告表</w:t>
      </w:r>
      <w:r>
        <w:rPr>
          <w:rFonts w:hint="default" w:ascii="Times New Roman" w:hAnsi="Times New Roman" w:eastAsia="宋体" w:cs="Times New Roman"/>
          <w:color w:val="auto"/>
          <w:kern w:val="0"/>
          <w:sz w:val="24"/>
          <w:szCs w:val="24"/>
        </w:rPr>
        <w:t>》，</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21</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4</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val="en-US" w:eastAsia="zh-CN"/>
        </w:rPr>
        <w:t>1</w:t>
      </w:r>
      <w:r>
        <w:rPr>
          <w:rFonts w:hint="default" w:ascii="Times New Roman" w:hAnsi="Times New Roman" w:eastAsia="宋体" w:cs="Times New Roman"/>
          <w:color w:val="auto"/>
          <w:kern w:val="0"/>
          <w:sz w:val="24"/>
          <w:szCs w:val="24"/>
          <w:lang w:eastAsia="zh-CN"/>
        </w:rPr>
        <w:t>日东阿县行政审批服务局</w:t>
      </w:r>
      <w:r>
        <w:rPr>
          <w:rFonts w:hint="default" w:ascii="Times New Roman" w:hAnsi="Times New Roman" w:cs="Times New Roman"/>
          <w:color w:val="auto"/>
          <w:kern w:val="0"/>
          <w:sz w:val="24"/>
          <w:szCs w:val="24"/>
          <w:lang w:eastAsia="zh-CN"/>
        </w:rPr>
        <w:t>以东行审环报告表〔2021〕36号</w:t>
      </w:r>
      <w:r>
        <w:rPr>
          <w:rFonts w:hint="default" w:ascii="Times New Roman" w:hAnsi="Times New Roman" w:eastAsia="宋体" w:cs="Times New Roman"/>
          <w:color w:val="auto"/>
          <w:kern w:val="0"/>
          <w:sz w:val="24"/>
          <w:szCs w:val="24"/>
        </w:rPr>
        <w:t>对其进行了审批。</w:t>
      </w:r>
      <w:r>
        <w:rPr>
          <w:rFonts w:hint="default" w:ascii="Times New Roman" w:hAnsi="Times New Roman" w:eastAsia="宋体" w:cs="Times New Roman"/>
          <w:color w:val="auto"/>
          <w:kern w:val="0"/>
          <w:sz w:val="24"/>
          <w:szCs w:val="24"/>
          <w:highlight w:val="none"/>
        </w:rPr>
        <w:t>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rPr>
        <w:t>年</w:t>
      </w:r>
      <w:r>
        <w:rPr>
          <w:rFonts w:hint="eastAsia" w:cs="Times New Roman"/>
          <w:color w:val="auto"/>
          <w:kern w:val="0"/>
          <w:sz w:val="24"/>
          <w:szCs w:val="24"/>
          <w:highlight w:val="none"/>
          <w:lang w:val="en-US" w:eastAsia="zh-CN"/>
        </w:rPr>
        <w:t>5</w:t>
      </w:r>
      <w:r>
        <w:rPr>
          <w:rFonts w:hint="default" w:ascii="Times New Roman" w:hAnsi="Times New Roman" w:eastAsia="宋体" w:cs="Times New Roman"/>
          <w:color w:val="auto"/>
          <w:kern w:val="0"/>
          <w:sz w:val="24"/>
          <w:szCs w:val="24"/>
          <w:highlight w:val="none"/>
        </w:rPr>
        <w:t>月东阿县御颜堂阿胶制品有限公司</w:t>
      </w:r>
      <w:r>
        <w:rPr>
          <w:rFonts w:hint="default" w:ascii="Times New Roman" w:hAnsi="Times New Roman" w:eastAsia="宋体" w:cs="Times New Roman"/>
          <w:color w:val="auto"/>
          <w:kern w:val="0"/>
          <w:sz w:val="24"/>
          <w:szCs w:val="24"/>
        </w:rPr>
        <w:t>委托</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color w:val="auto"/>
          <w:kern w:val="0"/>
          <w:sz w:val="24"/>
          <w:szCs w:val="24"/>
        </w:rPr>
        <w:t>进行该项目的环保验收监测工作，接受委托后</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color w:val="auto"/>
          <w:kern w:val="0"/>
          <w:sz w:val="24"/>
          <w:szCs w:val="24"/>
        </w:rPr>
        <w:t>组织有关技术人员进行现场踏勘，依据监测技术规范制定了环保验收监测方案，</w:t>
      </w:r>
      <w:r>
        <w:rPr>
          <w:rFonts w:hint="default" w:ascii="Times New Roman" w:hAnsi="Times New Roman" w:eastAsia="宋体" w:cs="Times New Roman"/>
          <w:color w:val="auto"/>
          <w:kern w:val="0"/>
          <w:sz w:val="24"/>
          <w:szCs w:val="24"/>
          <w:highlight w:val="none"/>
        </w:rPr>
        <w:t>并</w:t>
      </w:r>
      <w:r>
        <w:rPr>
          <w:rFonts w:hint="default" w:ascii="Times New Roman" w:hAnsi="Times New Roman" w:cs="Times New Roman"/>
          <w:color w:val="auto"/>
          <w:kern w:val="0"/>
          <w:sz w:val="24"/>
          <w:szCs w:val="24"/>
          <w:highlight w:val="none"/>
          <w:lang w:eastAsia="zh-CN"/>
        </w:rPr>
        <w:t>委托山东聊和环保科技有限公司</w:t>
      </w:r>
      <w:r>
        <w:rPr>
          <w:rFonts w:hint="default" w:ascii="Times New Roman" w:hAnsi="Times New Roman" w:eastAsia="宋体" w:cs="Times New Roman"/>
          <w:color w:val="auto"/>
          <w:kern w:val="0"/>
          <w:sz w:val="24"/>
          <w:szCs w:val="24"/>
          <w:highlight w:val="none"/>
        </w:rPr>
        <w:t>于20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lang w:eastAsia="zh-CN"/>
        </w:rPr>
        <w:t>年</w:t>
      </w:r>
      <w:r>
        <w:rPr>
          <w:rFonts w:hint="default" w:ascii="Times New Roman" w:hAnsi="Times New Roman" w:eastAsia="宋体" w:cs="Times New Roman"/>
          <w:color w:val="auto"/>
          <w:kern w:val="0"/>
          <w:sz w:val="24"/>
          <w:szCs w:val="24"/>
          <w:highlight w:val="none"/>
          <w:lang w:val="en-US" w:eastAsia="zh-CN"/>
        </w:rPr>
        <w:t>0</w:t>
      </w:r>
      <w:r>
        <w:rPr>
          <w:rFonts w:hint="default" w:ascii="Times New Roman" w:hAnsi="Times New Roman" w:cs="Times New Roman"/>
          <w:color w:val="auto"/>
          <w:kern w:val="0"/>
          <w:sz w:val="24"/>
          <w:szCs w:val="24"/>
          <w:highlight w:val="none"/>
          <w:lang w:val="en-US" w:eastAsia="zh-CN"/>
        </w:rPr>
        <w:t>5</w:t>
      </w:r>
      <w:r>
        <w:rPr>
          <w:rFonts w:hint="default" w:ascii="Times New Roman" w:hAnsi="Times New Roman" w:eastAsia="宋体" w:cs="Times New Roman"/>
          <w:color w:val="auto"/>
          <w:kern w:val="0"/>
          <w:sz w:val="24"/>
          <w:szCs w:val="24"/>
          <w:highlight w:val="none"/>
          <w:lang w:val="en-US" w:eastAsia="zh-CN"/>
        </w:rPr>
        <w:t>月</w:t>
      </w:r>
      <w:r>
        <w:rPr>
          <w:rFonts w:hint="default" w:ascii="Times New Roman" w:hAnsi="Times New Roman" w:cs="Times New Roman"/>
          <w:color w:val="auto"/>
          <w:kern w:val="0"/>
          <w:sz w:val="24"/>
          <w:szCs w:val="24"/>
          <w:highlight w:val="none"/>
          <w:lang w:val="en-US" w:eastAsia="zh-CN"/>
        </w:rPr>
        <w:t>19</w:t>
      </w:r>
      <w:r>
        <w:rPr>
          <w:rFonts w:hint="default" w:ascii="Times New Roman" w:hAnsi="Times New Roman" w:eastAsia="宋体" w:cs="Times New Roman"/>
          <w:color w:val="auto"/>
          <w:kern w:val="0"/>
          <w:sz w:val="24"/>
          <w:szCs w:val="24"/>
          <w:highlight w:val="none"/>
          <w:lang w:val="en-US" w:eastAsia="zh-CN"/>
        </w:rPr>
        <w:t>日-</w:t>
      </w:r>
      <w:r>
        <w:rPr>
          <w:rFonts w:hint="default" w:ascii="Times New Roman" w:hAnsi="Times New Roman" w:cs="Times New Roman"/>
          <w:color w:val="auto"/>
          <w:kern w:val="0"/>
          <w:sz w:val="24"/>
          <w:szCs w:val="24"/>
          <w:highlight w:val="none"/>
          <w:lang w:val="en-US" w:eastAsia="zh-CN"/>
        </w:rPr>
        <w:t>21</w:t>
      </w:r>
      <w:r>
        <w:rPr>
          <w:rFonts w:hint="default" w:ascii="Times New Roman" w:hAnsi="Times New Roman" w:eastAsia="宋体" w:cs="Times New Roman"/>
          <w:color w:val="auto"/>
          <w:kern w:val="0"/>
          <w:sz w:val="24"/>
          <w:szCs w:val="24"/>
          <w:highlight w:val="none"/>
          <w:lang w:val="en-US" w:eastAsia="zh-CN"/>
        </w:rPr>
        <w:t>日</w:t>
      </w:r>
      <w:r>
        <w:rPr>
          <w:rFonts w:hint="default" w:ascii="Times New Roman" w:hAnsi="Times New Roman" w:eastAsia="宋体" w:cs="Times New Roman"/>
          <w:color w:val="auto"/>
          <w:kern w:val="0"/>
          <w:sz w:val="24"/>
          <w:szCs w:val="24"/>
          <w:highlight w:val="none"/>
        </w:rPr>
        <w:t>对</w:t>
      </w:r>
      <w:r>
        <w:rPr>
          <w:rFonts w:hint="default" w:ascii="Times New Roman" w:hAnsi="Times New Roman" w:eastAsia="宋体" w:cs="Times New Roman"/>
          <w:color w:val="auto"/>
          <w:sz w:val="24"/>
          <w:szCs w:val="24"/>
        </w:rPr>
        <w:t>该企业进行了验收</w:t>
      </w:r>
      <w:r>
        <w:rPr>
          <w:rFonts w:hint="default" w:ascii="Times New Roman" w:hAnsi="Times New Roman" w:cs="Times New Roman"/>
          <w:color w:val="auto"/>
          <w:sz w:val="24"/>
          <w:szCs w:val="24"/>
          <w:lang w:eastAsia="zh-CN"/>
        </w:rPr>
        <w:t>检</w:t>
      </w:r>
      <w:r>
        <w:rPr>
          <w:rFonts w:hint="default" w:ascii="Times New Roman" w:hAnsi="Times New Roman" w:eastAsia="宋体" w:cs="Times New Roman"/>
          <w:color w:val="auto"/>
          <w:sz w:val="24"/>
          <w:szCs w:val="24"/>
        </w:rPr>
        <w:t>测，根据验收监测结果和现场检查情况，山东绿和环保咨询有限公司编制了本项目验收监测报告。</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楷体" w:cs="Times New Roman"/>
          <w:color w:val="FF0000"/>
          <w:sz w:val="24"/>
        </w:rPr>
      </w:pPr>
      <w:r>
        <w:rPr>
          <w:rFonts w:hint="eastAsia" w:cs="Times New Roman" w:eastAsiaTheme="minorEastAsia"/>
          <w:sz w:val="24"/>
          <w:lang w:eastAsia="zh-CN"/>
        </w:rPr>
        <w:t>本</w:t>
      </w:r>
      <w:r>
        <w:rPr>
          <w:rFonts w:hint="default" w:ascii="Times New Roman" w:hAnsi="Times New Roman" w:cs="Times New Roman" w:eastAsiaTheme="minorEastAsia"/>
          <w:sz w:val="24"/>
        </w:rPr>
        <w:t>项目</w:t>
      </w:r>
      <w:r>
        <w:rPr>
          <w:rFonts w:hint="eastAsia" w:cs="Times New Roman" w:eastAsiaTheme="minorEastAsia"/>
          <w:sz w:val="24"/>
          <w:lang w:eastAsia="zh-CN"/>
        </w:rPr>
        <w:t>一期</w:t>
      </w:r>
      <w:r>
        <w:rPr>
          <w:rFonts w:hint="default" w:ascii="Times New Roman" w:hAnsi="Times New Roman" w:cs="Times New Roman" w:eastAsiaTheme="minorEastAsia"/>
          <w:sz w:val="24"/>
        </w:rPr>
        <w:t>实际总投资</w:t>
      </w:r>
      <w:r>
        <w:rPr>
          <w:rFonts w:hint="eastAsia" w:cs="Times New Roman" w:eastAsiaTheme="minorEastAsia"/>
          <w:sz w:val="24"/>
          <w:lang w:val="en-US" w:eastAsia="zh-CN"/>
        </w:rPr>
        <w:t>10000</w:t>
      </w:r>
      <w:r>
        <w:rPr>
          <w:rFonts w:hint="default" w:ascii="Times New Roman" w:hAnsi="Times New Roman" w:cs="Times New Roman" w:eastAsiaTheme="minorEastAsia"/>
          <w:sz w:val="24"/>
          <w:lang w:val="en-US" w:eastAsia="zh-CN"/>
        </w:rPr>
        <w:t xml:space="preserve">万元 </w:t>
      </w:r>
      <w:r>
        <w:rPr>
          <w:rFonts w:hint="default" w:ascii="Times New Roman" w:hAnsi="Times New Roman" w:cs="Times New Roman" w:eastAsiaTheme="minorEastAsia"/>
          <w:sz w:val="24"/>
        </w:rPr>
        <w:t>，其中环保投资</w:t>
      </w:r>
      <w:r>
        <w:rPr>
          <w:rFonts w:hint="eastAsia" w:cs="Times New Roman" w:eastAsiaTheme="minorEastAsia"/>
          <w:sz w:val="24"/>
          <w:lang w:val="en-US" w:eastAsia="zh-CN"/>
        </w:rPr>
        <w:t>334</w:t>
      </w:r>
      <w:r>
        <w:rPr>
          <w:rFonts w:hint="default" w:ascii="Times New Roman" w:hAnsi="Times New Roman" w:cs="Times New Roman" w:eastAsiaTheme="minorEastAsia"/>
          <w:sz w:val="24"/>
        </w:rPr>
        <w:t>万元，占总投资</w:t>
      </w:r>
      <w:r>
        <w:rPr>
          <w:rFonts w:hint="eastAsia" w:cs="Times New Roman" w:eastAsiaTheme="minorEastAsia"/>
          <w:sz w:val="24"/>
          <w:lang w:val="en-US" w:eastAsia="zh-CN"/>
        </w:rPr>
        <w:t>3.34</w:t>
      </w:r>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本次验收范围为东阿县御颜堂阿胶制品有限公司</w:t>
      </w:r>
      <w:r>
        <w:rPr>
          <w:rFonts w:hint="eastAsia" w:cs="Times New Roman"/>
          <w:sz w:val="24"/>
          <w:lang w:eastAsia="zh-CN"/>
        </w:rPr>
        <w:t>年产5380吨阿胶系列产品项目（一期）</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经现场验收核查，对照环评报告及审批意见，公司预计总投资15500万元，占地面积49385m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2</w:t>
      </w:r>
      <w:r>
        <w:rPr>
          <w:rFonts w:hint="default" w:ascii="Times New Roman" w:hAnsi="Times New Roman" w:eastAsia="宋体" w:cs="Times New Roman"/>
          <w:b w:val="0"/>
          <w:bCs w:val="0"/>
          <w:color w:val="auto"/>
          <w:kern w:val="2"/>
          <w:sz w:val="24"/>
          <w:szCs w:val="24"/>
          <w:highlight w:val="none"/>
          <w:lang w:val="en-US" w:eastAsia="zh-CN" w:bidi="ar-SA"/>
        </w:rPr>
        <w:t>，购置蒸球、蒸发罐夹层锅、分离机、隧道烘干机、提沫机、粉碎机、烘干机等设施设备建设年产5380吨阿胶系列产品项目，企业由于资金问题，部分设备未上齐，项目分期验收，本次验收为一期，一期实际投资10000万元，</w:t>
      </w:r>
      <w:r>
        <w:rPr>
          <w:rFonts w:hint="eastAsia" w:cs="Times New Roman"/>
          <w:color w:val="auto"/>
          <w:sz w:val="24"/>
          <w:szCs w:val="24"/>
          <w:lang w:eastAsia="zh-CN"/>
        </w:rPr>
        <w:t>生产规模可达</w:t>
      </w:r>
      <w:r>
        <w:rPr>
          <w:rFonts w:hint="default" w:ascii="Times New Roman" w:hAnsi="Times New Roman" w:eastAsia="宋体" w:cs="Times New Roman"/>
          <w:color w:val="auto"/>
          <w:sz w:val="24"/>
          <w:szCs w:val="24"/>
          <w:lang w:eastAsia="zh-CN"/>
        </w:rPr>
        <w:t>年产</w:t>
      </w:r>
      <w:r>
        <w:rPr>
          <w:rFonts w:hint="default" w:ascii="Times New Roman" w:hAnsi="Times New Roman" w:eastAsia="宋体" w:cs="Times New Roman"/>
          <w:color w:val="auto"/>
          <w:sz w:val="24"/>
          <w:szCs w:val="24"/>
          <w:lang w:val="en-US" w:eastAsia="zh-CN"/>
        </w:rPr>
        <w:t>4520吨阿胶系列产品项目</w:t>
      </w:r>
      <w:r>
        <w:rPr>
          <w:rFonts w:hint="default" w:ascii="Times New Roman" w:hAnsi="Times New Roman" w:eastAsia="宋体" w:cs="Times New Roman"/>
          <w:b w:val="0"/>
          <w:bCs w:val="0"/>
          <w:color w:val="auto"/>
          <w:kern w:val="2"/>
          <w:sz w:val="24"/>
          <w:szCs w:val="24"/>
          <w:highlight w:val="none"/>
          <w:lang w:val="en-US" w:eastAsia="zh-CN" w:bidi="ar-SA"/>
        </w:rPr>
        <w:t>。根据《关于印发</w:t>
      </w:r>
      <w:r>
        <w:rPr>
          <w:rFonts w:hint="default" w:ascii="Times New Roman" w:hAnsi="Times New Roman" w:cs="Times New Roman"/>
          <w:b w:val="0"/>
          <w:bCs w:val="0"/>
          <w:color w:val="auto"/>
          <w:kern w:val="2"/>
          <w:sz w:val="24"/>
          <w:szCs w:val="24"/>
          <w:highlight w:val="none"/>
          <w:lang w:val="en-US" w:eastAsia="zh-CN" w:bidi="ar-SA"/>
        </w:rPr>
        <w:t>污染影响类建设项目重大变动清单（试行）</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的通知</w:t>
      </w:r>
      <w:r>
        <w:rPr>
          <w:rFonts w:hint="default" w:ascii="Times New Roman" w:hAnsi="Times New Roman" w:eastAsia="宋体" w:cs="Times New Roman"/>
          <w:b w:val="0"/>
          <w:bCs w:val="0"/>
          <w:color w:val="auto"/>
          <w:kern w:val="2"/>
          <w:sz w:val="24"/>
          <w:szCs w:val="24"/>
          <w:highlight w:val="none"/>
          <w:lang w:val="en-US" w:eastAsia="zh-CN" w:bidi="ar-SA"/>
        </w:rPr>
        <w:t>环办</w:t>
      </w:r>
      <w:r>
        <w:rPr>
          <w:rFonts w:hint="default" w:ascii="Times New Roman" w:hAnsi="Times New Roman" w:cs="Times New Roman"/>
          <w:b w:val="0"/>
          <w:bCs w:val="0"/>
          <w:color w:val="auto"/>
          <w:kern w:val="2"/>
          <w:sz w:val="24"/>
          <w:szCs w:val="24"/>
          <w:highlight w:val="none"/>
          <w:lang w:val="en-US" w:eastAsia="zh-CN" w:bidi="ar-SA"/>
        </w:rPr>
        <w:t>环评函</w:t>
      </w:r>
      <w:r>
        <w:rPr>
          <w:rFonts w:hint="default" w:ascii="Times New Roman" w:hAnsi="Times New Roman" w:eastAsia="宋体" w:cs="Times New Roman"/>
          <w:b w:val="0"/>
          <w:bCs w:val="0"/>
          <w:color w:val="auto"/>
          <w:kern w:val="2"/>
          <w:sz w:val="24"/>
          <w:szCs w:val="24"/>
          <w:highlight w:val="none"/>
          <w:lang w:val="en-US" w:eastAsia="zh-CN" w:bidi="ar-SA"/>
        </w:rPr>
        <w:t>[20</w:t>
      </w:r>
      <w:r>
        <w:rPr>
          <w:rFonts w:hint="default" w:ascii="Times New Roman" w:hAnsi="Times New Roman" w:cs="Times New Roman"/>
          <w:b w:val="0"/>
          <w:bCs w:val="0"/>
          <w:color w:val="auto"/>
          <w:kern w:val="2"/>
          <w:sz w:val="24"/>
          <w:szCs w:val="24"/>
          <w:highlight w:val="none"/>
          <w:lang w:val="en-US" w:eastAsia="zh-CN" w:bidi="ar-SA"/>
        </w:rPr>
        <w:t>20</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688</w:t>
      </w:r>
      <w:r>
        <w:rPr>
          <w:rFonts w:hint="default" w:ascii="Times New Roman" w:hAnsi="Times New Roman" w:eastAsia="宋体" w:cs="Times New Roman"/>
          <w:b w:val="0"/>
          <w:bCs w:val="0"/>
          <w:color w:val="auto"/>
          <w:kern w:val="2"/>
          <w:sz w:val="24"/>
          <w:szCs w:val="24"/>
          <w:highlight w:val="none"/>
          <w:lang w:val="en-US" w:eastAsia="zh-CN" w:bidi="ar-SA"/>
        </w:rPr>
        <w:t>号，项目以上变动不涉及重大变更</w:t>
      </w:r>
      <w:r>
        <w:rPr>
          <w:rFonts w:hint="default" w:ascii="Times New Roman" w:hAnsi="Times New Roman"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生产性质、生产地点、生产规模、生产工艺流程及环保设施均无明显变动，故本项目工程无重大变动。</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1"/>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pStyle w:val="3"/>
        <w:spacing w:before="0" w:after="0" w:line="360" w:lineRule="auto"/>
        <w:ind w:firstLine="480" w:firstLineChars="200"/>
        <w:outlineLvl w:val="0"/>
        <w:rPr>
          <w:rFonts w:hint="default" w:ascii="Times New Roman" w:hAnsi="Times New Roman" w:eastAsia="宋体" w:cs="Times New Roman"/>
          <w:b w:val="0"/>
          <w:bCs w:val="0"/>
          <w:color w:val="auto"/>
          <w:kern w:val="0"/>
          <w:sz w:val="24"/>
          <w:szCs w:val="24"/>
          <w:lang w:val="en-US" w:eastAsia="zh-CN" w:bidi="ar-SA"/>
        </w:rPr>
      </w:pPr>
      <w:r>
        <w:rPr>
          <w:rFonts w:hint="default" w:ascii="Times New Roman" w:hAnsi="Times New Roman" w:eastAsia="宋体" w:cs="Times New Roman"/>
          <w:b w:val="0"/>
          <w:bCs w:val="0"/>
          <w:color w:val="auto"/>
          <w:kern w:val="0"/>
          <w:sz w:val="24"/>
          <w:szCs w:val="24"/>
          <w:lang w:val="en-US" w:eastAsia="zh-CN" w:bidi="ar-SA"/>
        </w:rPr>
        <w:t>本项目废水主要为生活废水和生产废水，生产废水主要有焯皮废水、擦胶废水、洗皮泡皮废水、设备清洗废水、地面冲洗废水、纯水制备浓水、蒸汽冷凝水，生活废水和生产废水经厂区污水处理站处理后通过市政管网排入东阿县康达水务有限公司处理达标后外排，蒸汽冷凝水为清洁下水排入雨水管网。</w:t>
      </w:r>
    </w:p>
    <w:p>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SA"/>
        </w:rPr>
      </w:pPr>
      <w:r>
        <w:rPr>
          <w:rFonts w:hint="default" w:ascii="Times New Roman" w:hAnsi="Times New Roman" w:eastAsia="宋体" w:cs="Times New Roman"/>
          <w:b w:val="0"/>
          <w:bCs w:val="0"/>
          <w:color w:val="auto"/>
          <w:kern w:val="0"/>
          <w:sz w:val="24"/>
          <w:szCs w:val="24"/>
          <w:lang w:val="en-US" w:eastAsia="zh-CN" w:bidi="ar-SA"/>
        </w:rPr>
        <w:t>项目废气主要为污水处理站产生的恶臭和食堂油烟。污水处理站水解池、气浮池等池体进行全封闭建设，产生的臭气引入</w:t>
      </w:r>
      <w:r>
        <w:rPr>
          <w:rFonts w:hint="default" w:ascii="Times New Roman" w:hAnsi="Times New Roman" w:eastAsia="宋体" w:cs="Times New Roman"/>
          <w:b w:val="0"/>
          <w:bCs w:val="0"/>
          <w:color w:val="auto"/>
          <w:kern w:val="0"/>
          <w:sz w:val="24"/>
          <w:szCs w:val="24"/>
          <w:highlight w:val="none"/>
          <w:shd w:val="clear"/>
          <w:lang w:val="en-US" w:eastAsia="zh-CN" w:bidi="ar-SA"/>
        </w:rPr>
        <w:t>光氧活性炭</w:t>
      </w:r>
      <w:r>
        <w:rPr>
          <w:rFonts w:hint="default" w:ascii="Times New Roman" w:hAnsi="Times New Roman" w:eastAsia="宋体" w:cs="Times New Roman"/>
          <w:b w:val="0"/>
          <w:bCs w:val="0"/>
          <w:color w:val="auto"/>
          <w:kern w:val="0"/>
          <w:sz w:val="24"/>
          <w:szCs w:val="24"/>
          <w:lang w:val="en-US" w:eastAsia="zh-CN" w:bidi="ar-SA"/>
        </w:rPr>
        <w:t>一体机处理后通过1根15米高排气筒排放；食堂油烟经油烟净化器处理后通过高于房顶1.5米高排气筒排放；生产过程中产生的少量颗粒物和未被收集的臭气以无组织形式排放。</w:t>
      </w:r>
    </w:p>
    <w:p>
      <w:pPr>
        <w:keepNext w:val="0"/>
        <w:keepLines w:val="0"/>
        <w:pageBreakBefore w:val="0"/>
        <w:widowControl/>
        <w:numPr>
          <w:ilvl w:val="0"/>
          <w:numId w:val="1"/>
        </w:numPr>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噪声</w:t>
      </w:r>
    </w:p>
    <w:p>
      <w:pPr>
        <w:pStyle w:val="3"/>
        <w:spacing w:before="0" w:after="0" w:line="360" w:lineRule="auto"/>
        <w:ind w:firstLine="480" w:firstLineChars="200"/>
        <w:outlineLvl w:val="0"/>
        <w:rPr>
          <w:rFonts w:hint="default" w:ascii="Times New Roman" w:hAnsi="Times New Roman" w:eastAsia="宋体" w:cs="Times New Roman"/>
          <w:b w:val="0"/>
          <w:bCs w:val="0"/>
          <w:color w:val="auto"/>
          <w:kern w:val="2"/>
          <w:szCs w:val="24"/>
          <w:lang w:val="en-US" w:eastAsia="zh-CN"/>
        </w:rPr>
      </w:pPr>
      <w:bookmarkStart w:id="1" w:name="_GoBack"/>
      <w:bookmarkEnd w:id="1"/>
      <w:bookmarkStart w:id="0" w:name="_Toc17235"/>
      <w:r>
        <w:rPr>
          <w:rFonts w:hint="default" w:ascii="Times New Roman" w:hAnsi="Times New Roman" w:eastAsia="宋体" w:cs="Times New Roman"/>
          <w:b w:val="0"/>
          <w:bCs w:val="0"/>
          <w:color w:val="auto"/>
          <w:kern w:val="2"/>
          <w:szCs w:val="24"/>
          <w:lang w:val="en-US" w:eastAsia="zh-CN"/>
        </w:rPr>
        <w:t>本项目噪声源主要为粉碎机、分离机、烘干机等机械设备运行产生的噪声。采取选用低噪声设备，定期进行设备检修，减轻设备运转时产生的噪声等措施，经墙壁隔声、距离衰减后，最大程度地降低对外声环境影响。</w:t>
      </w:r>
      <w:bookmarkEnd w:id="0"/>
    </w:p>
    <w:p>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pStyle w:val="2"/>
        <w:spacing w:line="360" w:lineRule="auto"/>
        <w:ind w:left="0" w:leftChars="0" w:firstLine="480" w:firstLineChars="200"/>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z w:val="24"/>
          <w:szCs w:val="24"/>
        </w:rPr>
        <w:t>本项目固废主要包括：生产单元产生的</w:t>
      </w:r>
      <w:r>
        <w:rPr>
          <w:rFonts w:hint="default" w:ascii="Times New Roman" w:hAnsi="Times New Roman" w:cs="Times New Roman"/>
          <w:color w:val="auto"/>
          <w:sz w:val="24"/>
          <w:szCs w:val="24"/>
          <w:lang w:eastAsia="zh-CN"/>
        </w:rPr>
        <w:t>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default" w:ascii="Times New Roman" w:hAnsi="Times New Roman" w:cs="Times New Roman"/>
          <w:color w:val="auto"/>
          <w:sz w:val="24"/>
          <w:szCs w:val="24"/>
          <w:lang w:eastAsia="zh-CN"/>
        </w:rPr>
        <w:t>；纯水制备工序产生的</w:t>
      </w:r>
      <w:r>
        <w:rPr>
          <w:rFonts w:hint="default" w:ascii="Times New Roman" w:hAnsi="Times New Roman" w:eastAsia="宋体" w:cs="Times New Roman"/>
          <w:color w:val="auto"/>
          <w:sz w:val="24"/>
          <w:szCs w:val="24"/>
        </w:rPr>
        <w:t>废反渗透膜、</w:t>
      </w:r>
      <w:r>
        <w:rPr>
          <w:rFonts w:hint="default" w:ascii="Times New Roman" w:hAnsi="Times New Roman" w:cs="Times New Roman"/>
          <w:color w:val="auto"/>
          <w:sz w:val="24"/>
          <w:szCs w:val="24"/>
          <w:lang w:eastAsia="zh-CN"/>
        </w:rPr>
        <w:t>废活性炭，污水处理站产生的污泥，化验室的化验室废液、废玻璃瓶，废气处理设施产生的废灯管、废活性炭、废过滤棉和员工</w:t>
      </w:r>
      <w:r>
        <w:rPr>
          <w:rFonts w:hint="default" w:ascii="Times New Roman" w:hAnsi="Times New Roman" w:eastAsia="宋体" w:cs="Times New Roman"/>
          <w:color w:val="auto"/>
          <w:sz w:val="24"/>
          <w:szCs w:val="24"/>
        </w:rPr>
        <w:t>生活垃圾</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生产单元产生的</w:t>
      </w:r>
      <w:r>
        <w:rPr>
          <w:rFonts w:hint="default" w:ascii="Times New Roman" w:hAnsi="Times New Roman" w:cs="Times New Roman"/>
          <w:color w:val="auto"/>
          <w:sz w:val="24"/>
          <w:szCs w:val="24"/>
          <w:lang w:eastAsia="zh-CN"/>
        </w:rPr>
        <w:t>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纯水制备工序产生的</w:t>
      </w:r>
      <w:r>
        <w:rPr>
          <w:rFonts w:hint="default" w:ascii="Times New Roman" w:hAnsi="Times New Roman" w:eastAsia="宋体" w:cs="Times New Roman"/>
          <w:color w:val="auto"/>
          <w:sz w:val="24"/>
          <w:szCs w:val="24"/>
        </w:rPr>
        <w:t>废反渗透膜、</w:t>
      </w:r>
      <w:r>
        <w:rPr>
          <w:rFonts w:hint="default" w:ascii="Times New Roman" w:hAnsi="Times New Roman" w:cs="Times New Roman"/>
          <w:color w:val="auto"/>
          <w:sz w:val="24"/>
          <w:szCs w:val="24"/>
          <w:lang w:eastAsia="zh-CN"/>
        </w:rPr>
        <w:t>废活性炭</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shd w:val="clear"/>
          <w:lang w:eastAsia="zh-CN"/>
        </w:rPr>
        <w:t>污水处理站产生的污泥</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生活垃圾</w:t>
      </w:r>
      <w:r>
        <w:rPr>
          <w:rFonts w:hint="default" w:ascii="Times New Roman" w:hAnsi="Times New Roman" w:cs="Times New Roman"/>
          <w:color w:val="auto"/>
          <w:sz w:val="24"/>
          <w:szCs w:val="24"/>
          <w:lang w:eastAsia="zh-CN"/>
        </w:rPr>
        <w:t>均属于一般固废，生产单元产生的驴毛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eastAsia" w:ascii="Times New Roman" w:hAnsi="Times New Roman" w:cs="Times New Roman"/>
          <w:color w:val="auto"/>
          <w:sz w:val="24"/>
          <w:szCs w:val="24"/>
          <w:lang w:eastAsia="zh-CN"/>
        </w:rPr>
        <w:t>，污水处理站产生的污泥</w:t>
      </w:r>
      <w:r>
        <w:rPr>
          <w:rFonts w:hint="default" w:ascii="Times New Roman" w:hAnsi="Times New Roman" w:cs="Times New Roman"/>
          <w:color w:val="auto"/>
          <w:sz w:val="24"/>
          <w:szCs w:val="24"/>
          <w:lang w:eastAsia="zh-CN"/>
        </w:rPr>
        <w:t>收集后外售综合利用，纯水制备产生的废反渗透膜、废活性炭交由厂家回收；化验室的化验室废液、废玻璃瓶，废气处理设施产生的废灯管、废活性炭、废过滤棉属于危险废物，危险废物均交由山东聚鼎瑞环保科技有限公司妥善处置；生活垃圾定期交由环卫部门进行清运。</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inorEastAsia"/>
          <w:sz w:val="24"/>
        </w:rPr>
        <w:t>山东绿和环保咨询有限公司</w:t>
      </w:r>
      <w:r>
        <w:rPr>
          <w:rFonts w:hint="default" w:ascii="Times New Roman" w:hAnsi="Times New Roman" w:cs="Times New Roman" w:eastAsiaTheme="majorEastAsia"/>
          <w:sz w:val="24"/>
        </w:rPr>
        <w:t>出具的《</w:t>
      </w:r>
      <w:r>
        <w:rPr>
          <w:rFonts w:hint="eastAsia" w:cs="Times New Roman" w:eastAsiaTheme="majorEastAsia"/>
          <w:sz w:val="24"/>
          <w:lang w:eastAsia="zh-CN"/>
        </w:rPr>
        <w:t>东阿县御颜堂阿胶制品有限公司</w:t>
      </w:r>
      <w:r>
        <w:rPr>
          <w:rFonts w:hint="eastAsia" w:cs="Times New Roman"/>
          <w:sz w:val="24"/>
          <w:lang w:eastAsia="zh-CN"/>
        </w:rPr>
        <w:t>年产5380吨阿胶系列产品项目（一期）</w:t>
      </w:r>
      <w:r>
        <w:rPr>
          <w:rFonts w:hint="default" w:ascii="Times New Roman" w:hAnsi="Times New Roman" w:cs="Times New Roman" w:eastAsiaTheme="majorEastAsia"/>
          <w:sz w:val="24"/>
        </w:rPr>
        <w:t>竣工环境保护验收</w:t>
      </w:r>
      <w:r>
        <w:rPr>
          <w:rFonts w:hint="eastAsia" w:cs="Times New Roman" w:eastAsiaTheme="majorEastAsia"/>
          <w:sz w:val="24"/>
          <w:lang w:eastAsia="zh-CN"/>
        </w:rPr>
        <w:t>监</w:t>
      </w:r>
      <w:r>
        <w:rPr>
          <w:rFonts w:hint="default" w:ascii="Times New Roman" w:hAnsi="Times New Roman" w:cs="Times New Roman" w:eastAsiaTheme="majorEastAsia"/>
          <w:sz w:val="24"/>
        </w:rPr>
        <w:t>测报告》</w:t>
      </w:r>
      <w:r>
        <w:rPr>
          <w:rFonts w:hint="eastAsia" w:cs="Times New Roman" w:eastAsiaTheme="majorEastAsia"/>
          <w:sz w:val="24"/>
          <w:lang w:eastAsia="zh-CN"/>
        </w:rPr>
        <w:t>监</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①废气</w:t>
      </w:r>
    </w:p>
    <w:p>
      <w:pPr>
        <w:pStyle w:val="2"/>
        <w:spacing w:line="360" w:lineRule="auto"/>
        <w:ind w:firstLine="480" w:firstLineChars="0"/>
        <w:jc w:val="both"/>
        <w:rPr>
          <w:rFonts w:hint="default" w:ascii="Times New Roman" w:hAnsi="Times New Roman" w:eastAsia="宋体" w:cs="Times New Roman"/>
          <w:color w:val="auto"/>
          <w:sz w:val="24"/>
          <w:szCs w:val="24"/>
          <w:highlight w:val="none"/>
          <w:shd w:val="clear"/>
        </w:rPr>
      </w:pPr>
      <w:r>
        <w:rPr>
          <w:rFonts w:hint="default" w:ascii="Times New Roman" w:hAnsi="Times New Roman" w:eastAsia="宋体" w:cs="Times New Roman"/>
          <w:color w:val="auto"/>
          <w:sz w:val="24"/>
          <w:szCs w:val="24"/>
          <w:highlight w:val="none"/>
          <w:lang w:val="zh-CN"/>
        </w:rPr>
        <w:t>验收监测期间</w:t>
      </w:r>
      <w:r>
        <w:rPr>
          <w:rFonts w:hint="default" w:ascii="Times New Roman" w:hAnsi="Times New Roman" w:cs="Times New Roman"/>
          <w:color w:val="auto"/>
          <w:sz w:val="24"/>
          <w:szCs w:val="24"/>
          <w:highlight w:val="none"/>
          <w:lang w:val="zh-CN"/>
        </w:rPr>
        <w:t>，污水处理站排气筒</w:t>
      </w:r>
      <w:r>
        <w:rPr>
          <w:rFonts w:hint="default" w:ascii="Times New Roman" w:hAnsi="Times New Roman" w:cs="Times New Roman"/>
          <w:color w:val="auto"/>
          <w:sz w:val="24"/>
          <w:szCs w:val="24"/>
          <w:highlight w:val="none"/>
          <w:lang w:val="en-US" w:eastAsia="zh-CN"/>
        </w:rPr>
        <w:t>P1</w:t>
      </w:r>
      <w:r>
        <w:rPr>
          <w:rFonts w:hint="default" w:ascii="Times New Roman" w:hAnsi="Times New Roman" w:cs="Times New Roman"/>
          <w:color w:val="auto"/>
          <w:sz w:val="24"/>
          <w:szCs w:val="24"/>
          <w:highlight w:val="none"/>
          <w:lang w:val="zh-CN"/>
        </w:rPr>
        <w:t>出口氨排放速率最高值为</w:t>
      </w:r>
      <w:r>
        <w:rPr>
          <w:rFonts w:hint="default" w:ascii="Times New Roman" w:hAnsi="Times New Roman" w:cs="Times New Roman"/>
          <w:color w:val="auto"/>
          <w:sz w:val="24"/>
          <w:szCs w:val="24"/>
          <w:highlight w:val="none"/>
          <w:lang w:val="en-US" w:eastAsia="zh-CN"/>
        </w:rPr>
        <w:t>0.0311kg/h，硫化氢排放速率最高值为5.48×10</w:t>
      </w:r>
      <w:r>
        <w:rPr>
          <w:rFonts w:hint="default" w:ascii="Times New Roman" w:hAnsi="Times New Roman" w:cs="Times New Roman"/>
          <w:color w:val="auto"/>
          <w:sz w:val="24"/>
          <w:szCs w:val="24"/>
          <w:highlight w:val="none"/>
          <w:vertAlign w:val="superscript"/>
          <w:lang w:val="en-US" w:eastAsia="zh-CN"/>
        </w:rPr>
        <w:t>-4</w:t>
      </w:r>
      <w:r>
        <w:rPr>
          <w:rFonts w:hint="default" w:ascii="Times New Roman" w:hAnsi="Times New Roman" w:cs="Times New Roman"/>
          <w:color w:val="auto"/>
          <w:kern w:val="0"/>
          <w:sz w:val="24"/>
          <w:szCs w:val="24"/>
        </w:rPr>
        <w:t>kg/h</w:t>
      </w:r>
      <w:r>
        <w:rPr>
          <w:rFonts w:hint="default" w:ascii="Times New Roman" w:hAnsi="Times New Roman" w:cs="Times New Roman"/>
          <w:color w:val="auto"/>
          <w:kern w:val="0"/>
          <w:sz w:val="24"/>
          <w:szCs w:val="24"/>
          <w:lang w:eastAsia="zh-CN"/>
        </w:rPr>
        <w:t>，臭气浓度最大值为</w:t>
      </w:r>
      <w:r>
        <w:rPr>
          <w:rFonts w:hint="default" w:ascii="Times New Roman" w:hAnsi="Times New Roman" w:cs="Times New Roman"/>
          <w:color w:val="auto"/>
          <w:kern w:val="0"/>
          <w:sz w:val="24"/>
          <w:szCs w:val="24"/>
          <w:lang w:val="en-US" w:eastAsia="zh-CN"/>
        </w:rPr>
        <w:t>1737，均满足《恶臭污染物排放标准》</w:t>
      </w:r>
      <w:r>
        <w:rPr>
          <w:rFonts w:hint="default" w:ascii="Times New Roman" w:hAnsi="Times New Roman" w:cs="Times New Roman"/>
          <w:sz w:val="24"/>
          <w:szCs w:val="24"/>
          <w:lang w:val="en-US" w:eastAsia="zh-CN"/>
        </w:rPr>
        <w:t>（GB14554-1993）</w:t>
      </w:r>
      <w:r>
        <w:rPr>
          <w:rFonts w:hint="default" w:ascii="Times New Roman" w:hAnsi="Times New Roman" w:cs="Times New Roman"/>
          <w:color w:val="auto"/>
          <w:kern w:val="0"/>
          <w:sz w:val="24"/>
          <w:szCs w:val="24"/>
          <w:lang w:val="en-US" w:eastAsia="zh-CN"/>
        </w:rPr>
        <w:t>表2相关标准要求，食堂排气筒P2油烟最高排放浓度为0.22mg/m</w:t>
      </w:r>
      <w:r>
        <w:rPr>
          <w:rFonts w:hint="default" w:ascii="Times New Roman" w:hAnsi="Times New Roman" w:cs="Times New Roman"/>
          <w:color w:val="auto"/>
          <w:kern w:val="0"/>
          <w:sz w:val="24"/>
          <w:szCs w:val="24"/>
          <w:vertAlign w:val="superscript"/>
          <w:lang w:val="en-US" w:eastAsia="zh-CN"/>
        </w:rPr>
        <w:t>3</w:t>
      </w:r>
      <w:r>
        <w:rPr>
          <w:rFonts w:hint="default" w:ascii="Times New Roman" w:hAnsi="Times New Roman" w:cs="Times New Roman"/>
          <w:color w:val="auto"/>
          <w:kern w:val="0"/>
          <w:sz w:val="24"/>
          <w:szCs w:val="24"/>
          <w:lang w:val="en-US" w:eastAsia="zh-CN"/>
        </w:rPr>
        <w:t>，满足《山东省饮食业油烟排放标准》（DB37/597-2006）“小型”相关标准要求。</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氨最高排放浓度</w:t>
      </w:r>
      <w:r>
        <w:rPr>
          <w:rFonts w:hint="default" w:ascii="Times New Roman" w:hAnsi="Times New Roman" w:eastAsia="宋体" w:cs="Times New Roman"/>
          <w:color w:val="auto"/>
          <w:sz w:val="24"/>
          <w:szCs w:val="24"/>
          <w:highlight w:val="none"/>
        </w:rPr>
        <w:t>为0.</w:t>
      </w:r>
      <w:r>
        <w:rPr>
          <w:rFonts w:hint="default" w:ascii="Times New Roman" w:hAnsi="Times New Roman" w:cs="Times New Roman"/>
          <w:color w:val="auto"/>
          <w:sz w:val="24"/>
          <w:szCs w:val="24"/>
          <w:highlight w:val="none"/>
          <w:lang w:val="en-US" w:eastAsia="zh-CN"/>
        </w:rPr>
        <w:t>46</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硫化氢最高排放浓度</w:t>
      </w:r>
      <w:r>
        <w:rPr>
          <w:rFonts w:hint="default" w:ascii="Times New Roman" w:hAnsi="Times New Roman" w:eastAsia="宋体" w:cs="Times New Roman"/>
          <w:color w:val="auto"/>
          <w:sz w:val="24"/>
          <w:szCs w:val="24"/>
          <w:highlight w:val="none"/>
          <w:shd w:val="clear"/>
        </w:rPr>
        <w:t>为0.</w:t>
      </w:r>
      <w:r>
        <w:rPr>
          <w:rFonts w:hint="default" w:ascii="Times New Roman" w:hAnsi="Times New Roman" w:cs="Times New Roman"/>
          <w:color w:val="auto"/>
          <w:sz w:val="24"/>
          <w:szCs w:val="24"/>
          <w:highlight w:val="none"/>
          <w:shd w:val="clear"/>
          <w:lang w:val="en-US" w:eastAsia="zh-CN"/>
        </w:rPr>
        <w:t>007</w:t>
      </w:r>
      <w:r>
        <w:rPr>
          <w:rFonts w:hint="default" w:ascii="Times New Roman" w:hAnsi="Times New Roman" w:eastAsia="宋体" w:cs="Times New Roman"/>
          <w:color w:val="auto"/>
          <w:sz w:val="24"/>
          <w:szCs w:val="24"/>
          <w:highlight w:val="none"/>
          <w:shd w:val="clear"/>
        </w:rPr>
        <w:t>mg/m</w:t>
      </w:r>
      <w:r>
        <w:rPr>
          <w:rFonts w:hint="default" w:ascii="Times New Roman" w:hAnsi="Times New Roman" w:eastAsia="宋体" w:cs="Times New Roman"/>
          <w:color w:val="auto"/>
          <w:sz w:val="24"/>
          <w:szCs w:val="24"/>
          <w:highlight w:val="none"/>
          <w:shd w:val="clear"/>
          <w:vertAlign w:val="superscript"/>
        </w:rPr>
        <w:t>3</w:t>
      </w:r>
      <w:r>
        <w:rPr>
          <w:rFonts w:hint="default" w:ascii="Times New Roman" w:hAnsi="Times New Roman" w:eastAsia="宋体" w:cs="Times New Roman"/>
          <w:color w:val="auto"/>
          <w:sz w:val="24"/>
          <w:szCs w:val="24"/>
          <w:highlight w:val="none"/>
          <w:shd w:val="clear"/>
        </w:rPr>
        <w:t>，</w:t>
      </w:r>
      <w:r>
        <w:rPr>
          <w:rFonts w:hint="default" w:ascii="Times New Roman" w:hAnsi="Times New Roman" w:cs="Times New Roman"/>
          <w:color w:val="auto"/>
          <w:sz w:val="24"/>
          <w:szCs w:val="24"/>
          <w:highlight w:val="none"/>
          <w:shd w:val="clear"/>
          <w:lang w:eastAsia="zh-CN"/>
        </w:rPr>
        <w:t>无组织臭气浓度（无量纲）最高值为</w:t>
      </w:r>
      <w:r>
        <w:rPr>
          <w:rFonts w:hint="default" w:ascii="Times New Roman" w:hAnsi="Times New Roman" w:cs="Times New Roman"/>
          <w:color w:val="auto"/>
          <w:sz w:val="24"/>
          <w:szCs w:val="24"/>
          <w:highlight w:val="none"/>
          <w:shd w:val="clear"/>
          <w:lang w:val="en-US" w:eastAsia="zh-CN"/>
        </w:rPr>
        <w:t>18，</w:t>
      </w:r>
      <w:r>
        <w:rPr>
          <w:rFonts w:hint="default" w:ascii="Times New Roman" w:hAnsi="Times New Roman" w:eastAsia="宋体" w:cs="Times New Roman"/>
          <w:color w:val="auto"/>
          <w:sz w:val="24"/>
          <w:szCs w:val="24"/>
          <w:highlight w:val="none"/>
          <w:shd w:val="clear"/>
        </w:rPr>
        <w:t>均满足（GB14554-1993）恶臭污染物排放标准表1“二级”相关标准要求</w:t>
      </w:r>
      <w:r>
        <w:rPr>
          <w:rFonts w:hint="default" w:ascii="Times New Roman" w:hAnsi="Times New Roman" w:cs="Times New Roman"/>
          <w:color w:val="auto"/>
          <w:sz w:val="24"/>
          <w:szCs w:val="24"/>
          <w:highlight w:val="none"/>
          <w:shd w:val="clear"/>
          <w:lang w:eastAsia="zh-CN"/>
        </w:rPr>
        <w:t>，无组织颗粒物最高排放浓度为</w:t>
      </w:r>
      <w:r>
        <w:rPr>
          <w:rFonts w:hint="default" w:ascii="Times New Roman" w:hAnsi="Times New Roman" w:cs="Times New Roman"/>
          <w:color w:val="auto"/>
          <w:sz w:val="24"/>
          <w:szCs w:val="24"/>
          <w:highlight w:val="none"/>
          <w:shd w:val="clear"/>
          <w:lang w:val="en-US" w:eastAsia="zh-CN"/>
        </w:rPr>
        <w:t>0.363</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cs="Times New Roman"/>
          <w:color w:val="auto"/>
          <w:sz w:val="24"/>
          <w:szCs w:val="24"/>
          <w:highlight w:val="none"/>
          <w:shd w:val="clear"/>
          <w:lang w:val="en-US" w:eastAsia="zh-CN"/>
        </w:rPr>
        <w:t>，</w:t>
      </w:r>
      <w:r>
        <w:rPr>
          <w:rFonts w:hint="default" w:ascii="Times New Roman" w:hAnsi="Times New Roman" w:eastAsia="宋体" w:cs="Times New Roman"/>
          <w:color w:val="auto"/>
          <w:sz w:val="24"/>
          <w:szCs w:val="24"/>
          <w:highlight w:val="none"/>
          <w:lang w:eastAsia="zh-CN"/>
        </w:rPr>
        <w:t>满足</w:t>
      </w:r>
      <w:r>
        <w:rPr>
          <w:rFonts w:hint="default" w:ascii="Times New Roman" w:hAnsi="Times New Roman" w:cs="Times New Roman"/>
          <w:color w:val="auto"/>
          <w:sz w:val="24"/>
          <w:szCs w:val="24"/>
          <w:lang w:val="en-US" w:eastAsia="zh-CN"/>
        </w:rPr>
        <w:t>《大气污染物综合排放标准》（GB16297-1996）表2</w:t>
      </w:r>
      <w:r>
        <w:rPr>
          <w:rFonts w:hint="eastAsia" w:ascii="Times New Roman" w:hAnsi="Times New Roman" w:cs="Times New Roman"/>
          <w:color w:val="auto"/>
          <w:sz w:val="24"/>
          <w:szCs w:val="24"/>
          <w:lang w:val="en-US" w:eastAsia="zh-CN"/>
        </w:rPr>
        <w:t>相关标准要求</w:t>
      </w:r>
      <w:r>
        <w:rPr>
          <w:rFonts w:hint="default" w:ascii="Times New Roman" w:hAnsi="Times New Roman" w:eastAsia="宋体" w:cs="Times New Roman"/>
          <w:color w:val="auto"/>
          <w:sz w:val="24"/>
          <w:szCs w:val="24"/>
          <w:highlight w:val="none"/>
          <w:shd w:val="clear"/>
        </w:rPr>
        <w:t>。</w:t>
      </w:r>
    </w:p>
    <w:p>
      <w:pPr>
        <w:keepNext w:val="0"/>
        <w:keepLines w:val="0"/>
        <w:pageBreakBefore w:val="0"/>
        <w:kinsoku/>
        <w:wordWrap/>
        <w:overflowPunct/>
        <w:topLinePunct w:val="0"/>
        <w:autoSpaceDE/>
        <w:autoSpaceDN/>
        <w:bidi w:val="0"/>
        <w:spacing w:line="360" w:lineRule="auto"/>
        <w:ind w:firstLine="600" w:firstLineChars="25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②废水</w:t>
      </w:r>
    </w:p>
    <w:p>
      <w:pPr>
        <w:spacing w:line="360" w:lineRule="auto"/>
        <w:ind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2"/>
          <w:sz w:val="24"/>
          <w:szCs w:val="24"/>
          <w:highlight w:val="none"/>
          <w:shd w:val="clear"/>
          <w:lang w:val="en-US" w:eastAsia="zh-CN" w:bidi="ar-SA"/>
        </w:rPr>
        <w:t>验收监测期间，p</w:t>
      </w:r>
      <w:r>
        <w:rPr>
          <w:rFonts w:hint="default" w:ascii="Times New Roman" w:hAnsi="Times New Roman" w:eastAsia="宋体" w:cs="Times New Roman"/>
          <w:color w:val="auto"/>
          <w:kern w:val="2"/>
          <w:sz w:val="24"/>
          <w:szCs w:val="24"/>
          <w:highlight w:val="none"/>
          <w:lang w:val="en-US" w:eastAsia="zh-CN" w:bidi="ar-SA"/>
        </w:rPr>
        <w:t>H</w:t>
      </w:r>
      <w:r>
        <w:rPr>
          <w:rFonts w:hint="default" w:ascii="Times New Roman" w:hAnsi="Times New Roman" w:cs="Times New Roman"/>
          <w:color w:val="auto"/>
          <w:kern w:val="2"/>
          <w:sz w:val="24"/>
          <w:szCs w:val="24"/>
          <w:lang w:val="en-US" w:eastAsia="zh-CN" w:bidi="ar-SA"/>
        </w:rPr>
        <w:t>为7.</w:t>
      </w:r>
      <w:r>
        <w:rPr>
          <w:rFonts w:hint="eastAsia" w:cs="Times New Roman"/>
          <w:color w:val="auto"/>
          <w:kern w:val="2"/>
          <w:sz w:val="24"/>
          <w:szCs w:val="24"/>
          <w:lang w:val="en-US" w:eastAsia="zh-CN" w:bidi="ar-SA"/>
        </w:rPr>
        <w:t>2</w:t>
      </w:r>
      <w:r>
        <w:rPr>
          <w:rFonts w:hint="default" w:ascii="Times New Roman" w:hAnsi="Times New Roman" w:cs="Times New Roman"/>
          <w:color w:val="auto"/>
          <w:kern w:val="2"/>
          <w:sz w:val="24"/>
          <w:szCs w:val="24"/>
          <w:lang w:val="en-US" w:eastAsia="zh-CN" w:bidi="ar-SA"/>
        </w:rPr>
        <w:t>-7.</w:t>
      </w:r>
      <w:r>
        <w:rPr>
          <w:rFonts w:hint="eastAsia" w:cs="Times New Roman"/>
          <w:color w:val="auto"/>
          <w:kern w:val="2"/>
          <w:sz w:val="24"/>
          <w:szCs w:val="24"/>
          <w:lang w:val="en-US" w:eastAsia="zh-CN" w:bidi="ar-SA"/>
        </w:rPr>
        <w:t>7</w:t>
      </w:r>
      <w:r>
        <w:rPr>
          <w:rFonts w:hint="default" w:ascii="Times New Roman" w:hAnsi="Times New Roman" w:cs="Times New Roman"/>
          <w:color w:val="auto"/>
          <w:kern w:val="2"/>
          <w:sz w:val="24"/>
          <w:szCs w:val="24"/>
          <w:lang w:val="en-US" w:eastAsia="zh-CN" w:bidi="ar-SA"/>
        </w:rPr>
        <w:t>，</w:t>
      </w:r>
      <w:r>
        <w:rPr>
          <w:rFonts w:hint="default" w:ascii="Times New Roman" w:hAnsi="Times New Roman" w:eastAsia="宋体" w:cs="Times New Roman"/>
          <w:b w:val="0"/>
          <w:bCs w:val="0"/>
          <w:color w:val="auto"/>
          <w:sz w:val="24"/>
          <w:szCs w:val="24"/>
          <w:lang w:val="en-US" w:eastAsia="zh-CN"/>
        </w:rPr>
        <w:t>化学需氧量最高排放浓度为</w:t>
      </w:r>
      <w:r>
        <w:rPr>
          <w:rFonts w:hint="eastAsia" w:cs="Times New Roman"/>
          <w:b w:val="0"/>
          <w:bCs w:val="0"/>
          <w:color w:val="auto"/>
          <w:sz w:val="24"/>
          <w:szCs w:val="24"/>
          <w:lang w:val="en-US" w:eastAsia="zh-CN"/>
        </w:rPr>
        <w:t>37</w:t>
      </w:r>
      <w:r>
        <w:rPr>
          <w:rFonts w:hint="default" w:ascii="Times New Roman" w:hAnsi="Times New Roman" w:eastAsia="宋体" w:cs="Times New Roman"/>
          <w:b w:val="0"/>
          <w:bCs w:val="0"/>
          <w:color w:val="auto"/>
          <w:sz w:val="24"/>
          <w:szCs w:val="24"/>
          <w:lang w:val="en-US" w:eastAsia="zh-CN"/>
        </w:rPr>
        <w:t>mg/L</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color w:val="auto"/>
          <w:kern w:val="2"/>
          <w:sz w:val="24"/>
          <w:szCs w:val="24"/>
          <w:lang w:val="en-US" w:eastAsia="zh-CN" w:bidi="ar-SA"/>
        </w:rPr>
        <w:t>五日生化需氧量最高排放浓度为</w:t>
      </w:r>
      <w:r>
        <w:rPr>
          <w:rFonts w:hint="eastAsia" w:cs="Times New Roman"/>
          <w:color w:val="auto"/>
          <w:kern w:val="2"/>
          <w:sz w:val="24"/>
          <w:szCs w:val="24"/>
          <w:lang w:val="en-US" w:eastAsia="zh-CN" w:bidi="ar-SA"/>
        </w:rPr>
        <w:t>9.7</w:t>
      </w:r>
      <w:r>
        <w:rPr>
          <w:rFonts w:hint="default" w:ascii="Times New Roman" w:hAnsi="Times New Roman" w:eastAsia="宋体" w:cs="Times New Roman"/>
          <w:color w:val="auto"/>
          <w:kern w:val="2"/>
          <w:sz w:val="24"/>
          <w:szCs w:val="24"/>
          <w:lang w:val="en-US" w:eastAsia="zh-CN" w:bidi="ar-SA"/>
        </w:rPr>
        <w:t>mg/L，氨氮最高排放浓度为</w:t>
      </w:r>
      <w:r>
        <w:rPr>
          <w:rFonts w:hint="eastAsia" w:cs="Times New Roman"/>
          <w:color w:val="auto"/>
          <w:kern w:val="2"/>
          <w:sz w:val="24"/>
          <w:szCs w:val="24"/>
          <w:lang w:val="en-US" w:eastAsia="zh-CN" w:bidi="ar-SA"/>
        </w:rPr>
        <w:t>3.91</w:t>
      </w:r>
      <w:r>
        <w:rPr>
          <w:rFonts w:hint="default" w:ascii="Times New Roman" w:hAnsi="Times New Roman" w:eastAsia="宋体" w:cs="Times New Roman"/>
          <w:color w:val="auto"/>
          <w:kern w:val="2"/>
          <w:sz w:val="24"/>
          <w:szCs w:val="24"/>
          <w:lang w:val="en-US" w:eastAsia="zh-CN" w:bidi="ar-SA"/>
        </w:rPr>
        <w:t>mg/L，悬浮物最高排放浓度为</w:t>
      </w:r>
      <w:r>
        <w:rPr>
          <w:rFonts w:hint="eastAsia" w:cs="Times New Roman"/>
          <w:color w:val="auto"/>
          <w:kern w:val="2"/>
          <w:sz w:val="24"/>
          <w:szCs w:val="24"/>
          <w:lang w:val="en-US" w:eastAsia="zh-CN" w:bidi="ar-SA"/>
        </w:rPr>
        <w:t>7</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溶解性总固体最高浓度为</w:t>
      </w:r>
      <w:r>
        <w:rPr>
          <w:rFonts w:hint="eastAsia" w:cs="Times New Roman"/>
          <w:color w:val="auto"/>
          <w:kern w:val="2"/>
          <w:sz w:val="24"/>
          <w:szCs w:val="24"/>
          <w:lang w:val="en-US" w:eastAsia="zh-CN" w:bidi="ar-SA"/>
        </w:rPr>
        <w:t>1320</w:t>
      </w:r>
      <w:r>
        <w:rPr>
          <w:rFonts w:hint="default" w:ascii="Times New Roman" w:hAnsi="Times New Roman" w:eastAsia="宋体" w:cs="Times New Roman"/>
          <w:color w:val="auto"/>
          <w:kern w:val="2"/>
          <w:sz w:val="24"/>
          <w:szCs w:val="24"/>
          <w:lang w:val="en-US" w:eastAsia="zh-CN" w:bidi="ar-SA"/>
        </w:rPr>
        <w:t>mg/L，</w:t>
      </w:r>
      <w:r>
        <w:rPr>
          <w:rFonts w:hint="eastAsia" w:cs="Times New Roman"/>
          <w:color w:val="auto"/>
          <w:kern w:val="2"/>
          <w:sz w:val="24"/>
          <w:szCs w:val="24"/>
          <w:lang w:val="en-US" w:eastAsia="zh-CN" w:bidi="ar-SA"/>
        </w:rPr>
        <w:t>总磷</w:t>
      </w:r>
      <w:r>
        <w:rPr>
          <w:rFonts w:hint="default" w:ascii="Times New Roman" w:hAnsi="Times New Roman" w:eastAsia="宋体" w:cs="Times New Roman"/>
          <w:color w:val="auto"/>
          <w:kern w:val="2"/>
          <w:sz w:val="24"/>
          <w:szCs w:val="24"/>
          <w:lang w:val="en-US" w:eastAsia="zh-CN" w:bidi="ar-SA"/>
        </w:rPr>
        <w:t>最高浓度为</w:t>
      </w:r>
      <w:r>
        <w:rPr>
          <w:rFonts w:hint="eastAsia" w:cs="Times New Roman"/>
          <w:color w:val="auto"/>
          <w:kern w:val="2"/>
          <w:sz w:val="24"/>
          <w:szCs w:val="24"/>
          <w:lang w:val="en-US" w:eastAsia="zh-CN" w:bidi="ar-SA"/>
        </w:rPr>
        <w:t>0.08</w:t>
      </w:r>
      <w:r>
        <w:rPr>
          <w:rFonts w:hint="default" w:ascii="Times New Roman" w:hAnsi="Times New Roman" w:eastAsia="宋体" w:cs="Times New Roman"/>
          <w:color w:val="auto"/>
          <w:kern w:val="2"/>
          <w:sz w:val="24"/>
          <w:szCs w:val="24"/>
          <w:lang w:val="en-US" w:eastAsia="zh-CN" w:bidi="ar-SA"/>
        </w:rPr>
        <w:t>mg/L，</w:t>
      </w:r>
      <w:r>
        <w:rPr>
          <w:rFonts w:hint="eastAsia" w:cs="Times New Roman"/>
          <w:color w:val="auto"/>
          <w:kern w:val="2"/>
          <w:sz w:val="24"/>
          <w:szCs w:val="24"/>
          <w:lang w:val="en-US" w:eastAsia="zh-CN" w:bidi="ar-SA"/>
        </w:rPr>
        <w:t>硫化物</w:t>
      </w:r>
      <w:r>
        <w:rPr>
          <w:rFonts w:hint="default" w:ascii="Times New Roman" w:hAnsi="Times New Roman" w:eastAsia="宋体" w:cs="Times New Roman"/>
          <w:color w:val="auto"/>
          <w:kern w:val="2"/>
          <w:sz w:val="24"/>
          <w:szCs w:val="24"/>
          <w:lang w:val="en-US" w:eastAsia="zh-CN" w:bidi="ar-SA"/>
        </w:rPr>
        <w:t>最高浓度为</w:t>
      </w:r>
      <w:r>
        <w:rPr>
          <w:rFonts w:hint="eastAsia" w:cs="Times New Roman"/>
          <w:color w:val="auto"/>
          <w:kern w:val="2"/>
          <w:sz w:val="24"/>
          <w:szCs w:val="24"/>
          <w:lang w:val="en-US" w:eastAsia="zh-CN" w:bidi="ar-SA"/>
        </w:rPr>
        <w:t>0.086</w:t>
      </w:r>
      <w:r>
        <w:rPr>
          <w:rFonts w:hint="default" w:ascii="Times New Roman" w:hAnsi="Times New Roman" w:eastAsia="宋体" w:cs="Times New Roman"/>
          <w:color w:val="auto"/>
          <w:kern w:val="2"/>
          <w:sz w:val="24"/>
          <w:szCs w:val="24"/>
          <w:lang w:val="en-US" w:eastAsia="zh-CN" w:bidi="ar-SA"/>
        </w:rPr>
        <w:t>mg/L，</w:t>
      </w:r>
      <w:r>
        <w:rPr>
          <w:rFonts w:hint="eastAsia" w:cs="Times New Roman"/>
          <w:color w:val="auto"/>
          <w:kern w:val="2"/>
          <w:sz w:val="24"/>
          <w:szCs w:val="24"/>
          <w:lang w:val="en-US" w:eastAsia="zh-CN" w:bidi="ar-SA"/>
        </w:rPr>
        <w:t>动植物油</w:t>
      </w:r>
      <w:r>
        <w:rPr>
          <w:rFonts w:hint="default" w:ascii="Times New Roman" w:hAnsi="Times New Roman" w:eastAsia="宋体" w:cs="Times New Roman"/>
          <w:color w:val="auto"/>
          <w:kern w:val="2"/>
          <w:sz w:val="24"/>
          <w:szCs w:val="24"/>
          <w:lang w:val="en-US" w:eastAsia="zh-CN" w:bidi="ar-SA"/>
        </w:rPr>
        <w:t>最高浓度为0.</w:t>
      </w:r>
      <w:r>
        <w:rPr>
          <w:rFonts w:hint="eastAsia" w:cs="Times New Roman"/>
          <w:color w:val="auto"/>
          <w:kern w:val="2"/>
          <w:sz w:val="24"/>
          <w:szCs w:val="24"/>
          <w:lang w:val="en-US" w:eastAsia="zh-CN" w:bidi="ar-SA"/>
        </w:rPr>
        <w:t>10</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均满足</w:t>
      </w:r>
      <w:r>
        <w:rPr>
          <w:rFonts w:hint="default" w:ascii="Times New Roman" w:hAnsi="Times New Roman" w:eastAsia="宋体" w:cs="Times New Roman"/>
          <w:color w:val="auto"/>
          <w:kern w:val="2"/>
          <w:sz w:val="24"/>
          <w:szCs w:val="24"/>
          <w:lang w:val="en-US" w:eastAsia="zh-CN" w:bidi="ar-SA"/>
        </w:rPr>
        <w:t>《污水排入城镇下水道水质标准》（GB/T 31962-2015）表1中的A等级标准及东阿县康达水务有限公司进水水质要求。</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③噪声</w:t>
      </w:r>
    </w:p>
    <w:p>
      <w:pPr>
        <w:pStyle w:val="2"/>
        <w:keepNext w:val="0"/>
        <w:keepLines w:val="0"/>
        <w:pageBreakBefore w:val="0"/>
        <w:kinsoku/>
        <w:wordWrap/>
        <w:overflowPunct/>
        <w:topLinePunct w:val="0"/>
        <w:autoSpaceDE/>
        <w:autoSpaceDN/>
        <w:bidi w:val="0"/>
        <w:snapToGrid w:val="0"/>
        <w:spacing w:line="360" w:lineRule="auto"/>
        <w:ind w:firstLine="480"/>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 xml:space="preserve"> 验收监测期间，监测点位昼间噪声在54.7-57.7(dB)之间，符合《工业企业厂界环境噪声排放标准》（GB12348-2008）中的3类标准限值。</w:t>
      </w:r>
    </w:p>
    <w:p>
      <w:pPr>
        <w:pStyle w:val="2"/>
        <w:keepNext w:val="0"/>
        <w:keepLines w:val="0"/>
        <w:pageBreakBefore w:val="0"/>
        <w:kinsoku/>
        <w:wordWrap/>
        <w:overflowPunct/>
        <w:topLinePunct w:val="0"/>
        <w:autoSpaceDE/>
        <w:autoSpaceDN/>
        <w:bidi w:val="0"/>
        <w:snapToGrid w:val="0"/>
        <w:spacing w:line="360" w:lineRule="auto"/>
        <w:ind w:firstLine="480"/>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④固废</w:t>
      </w:r>
    </w:p>
    <w:p>
      <w:pPr>
        <w:pStyle w:val="2"/>
        <w:spacing w:line="360" w:lineRule="auto"/>
        <w:ind w:left="0" w:leftChars="0" w:firstLine="480" w:firstLineChars="200"/>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z w:val="24"/>
          <w:szCs w:val="24"/>
        </w:rPr>
        <w:t>本项目固废主要包括：生产单元产生的</w:t>
      </w:r>
      <w:r>
        <w:rPr>
          <w:rFonts w:hint="default" w:ascii="Times New Roman" w:hAnsi="Times New Roman" w:cs="Times New Roman"/>
          <w:color w:val="auto"/>
          <w:sz w:val="24"/>
          <w:szCs w:val="24"/>
          <w:lang w:eastAsia="zh-CN"/>
        </w:rPr>
        <w:t>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default" w:ascii="Times New Roman" w:hAnsi="Times New Roman" w:cs="Times New Roman"/>
          <w:color w:val="auto"/>
          <w:sz w:val="24"/>
          <w:szCs w:val="24"/>
          <w:lang w:eastAsia="zh-CN"/>
        </w:rPr>
        <w:t>；纯水制备工序产生的</w:t>
      </w:r>
      <w:r>
        <w:rPr>
          <w:rFonts w:hint="default" w:ascii="Times New Roman" w:hAnsi="Times New Roman" w:eastAsia="宋体" w:cs="Times New Roman"/>
          <w:color w:val="auto"/>
          <w:sz w:val="24"/>
          <w:szCs w:val="24"/>
        </w:rPr>
        <w:t>废反渗透膜、</w:t>
      </w:r>
      <w:r>
        <w:rPr>
          <w:rFonts w:hint="default" w:ascii="Times New Roman" w:hAnsi="Times New Roman" w:cs="Times New Roman"/>
          <w:color w:val="auto"/>
          <w:sz w:val="24"/>
          <w:szCs w:val="24"/>
          <w:lang w:eastAsia="zh-CN"/>
        </w:rPr>
        <w:t>废活性炭，污水处理站产生的污泥，化验室的化验室废液、废玻璃瓶，废气处理设施产生的废灯管、废活性炭、废过滤棉和员工</w:t>
      </w:r>
      <w:r>
        <w:rPr>
          <w:rFonts w:hint="default" w:ascii="Times New Roman" w:hAnsi="Times New Roman" w:eastAsia="宋体" w:cs="Times New Roman"/>
          <w:color w:val="auto"/>
          <w:sz w:val="24"/>
          <w:szCs w:val="24"/>
        </w:rPr>
        <w:t>生活垃圾</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生产单元产生的</w:t>
      </w:r>
      <w:r>
        <w:rPr>
          <w:rFonts w:hint="default" w:ascii="Times New Roman" w:hAnsi="Times New Roman" w:cs="Times New Roman"/>
          <w:color w:val="auto"/>
          <w:sz w:val="24"/>
          <w:szCs w:val="24"/>
          <w:lang w:eastAsia="zh-CN"/>
        </w:rPr>
        <w:t>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纯水制备工序产生的</w:t>
      </w:r>
      <w:r>
        <w:rPr>
          <w:rFonts w:hint="default" w:ascii="Times New Roman" w:hAnsi="Times New Roman" w:eastAsia="宋体" w:cs="Times New Roman"/>
          <w:color w:val="auto"/>
          <w:sz w:val="24"/>
          <w:szCs w:val="24"/>
        </w:rPr>
        <w:t>废反渗透膜、</w:t>
      </w:r>
      <w:r>
        <w:rPr>
          <w:rFonts w:hint="default" w:ascii="Times New Roman" w:hAnsi="Times New Roman" w:cs="Times New Roman"/>
          <w:color w:val="auto"/>
          <w:sz w:val="24"/>
          <w:szCs w:val="24"/>
          <w:lang w:eastAsia="zh-CN"/>
        </w:rPr>
        <w:t>废活性炭</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shd w:val="clear"/>
          <w:lang w:eastAsia="zh-CN"/>
        </w:rPr>
        <w:t>污水处理站产生的污泥</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生活垃圾</w:t>
      </w:r>
      <w:r>
        <w:rPr>
          <w:rFonts w:hint="default" w:ascii="Times New Roman" w:hAnsi="Times New Roman" w:cs="Times New Roman"/>
          <w:color w:val="auto"/>
          <w:sz w:val="24"/>
          <w:szCs w:val="24"/>
          <w:lang w:eastAsia="zh-CN"/>
        </w:rPr>
        <w:t>均属于一般固废，生产单元产生的驴毛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eastAsia" w:ascii="Times New Roman" w:hAnsi="Times New Roman" w:cs="Times New Roman"/>
          <w:color w:val="auto"/>
          <w:sz w:val="24"/>
          <w:szCs w:val="24"/>
          <w:lang w:eastAsia="zh-CN"/>
        </w:rPr>
        <w:t>，污水处理站产生的污泥</w:t>
      </w:r>
      <w:r>
        <w:rPr>
          <w:rFonts w:hint="default" w:ascii="Times New Roman" w:hAnsi="Times New Roman" w:cs="Times New Roman"/>
          <w:color w:val="auto"/>
          <w:sz w:val="24"/>
          <w:szCs w:val="24"/>
          <w:lang w:eastAsia="zh-CN"/>
        </w:rPr>
        <w:t>收集后外售综合利用，纯水制备产生的废反渗透膜、废活性炭交由厂家回收；化验室的化验室废液、废玻璃瓶，废气处理设施产生的废灯管、废活性炭、废过滤棉属于危险废物，危险废物均交由山东聚鼎瑞环保科技有限公司妥善处置；生活垃圾定期交由环卫部门进行清运。</w:t>
      </w:r>
    </w:p>
    <w:p>
      <w:pPr>
        <w:keepNext w:val="0"/>
        <w:keepLines w:val="0"/>
        <w:pageBreakBefore w:val="0"/>
        <w:kinsoku/>
        <w:wordWrap/>
        <w:overflowPunct/>
        <w:topLinePunct w:val="0"/>
        <w:autoSpaceDE/>
        <w:autoSpaceDN/>
        <w:bidi w:val="0"/>
        <w:snapToGrid w:val="0"/>
        <w:spacing w:line="360" w:lineRule="auto"/>
        <w:ind w:firstLine="240" w:firstLineChars="100"/>
        <w:textAlignment w:val="auto"/>
        <w:rPr>
          <w:rFonts w:hint="default" w:ascii="Times New Roman" w:hAnsi="Times New Roman" w:cs="Times New Roman" w:eastAsiaTheme="majorEastAsia"/>
          <w:color w:val="000000"/>
          <w:sz w:val="24"/>
        </w:rPr>
      </w:pPr>
      <w:r>
        <w:rPr>
          <w:rFonts w:hint="default" w:ascii="Times New Roman" w:hAnsi="Times New Roman" w:cs="Times New Roman" w:eastAsiaTheme="majorEastAsia"/>
          <w:color w:val="000000"/>
          <w:sz w:val="24"/>
        </w:rPr>
        <w:t>（2）环境管理调查</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000000"/>
          <w:sz w:val="24"/>
        </w:rPr>
        <w:t>公司制定了《</w:t>
      </w:r>
      <w:r>
        <w:rPr>
          <w:rFonts w:hint="eastAsia" w:cs="Times New Roman"/>
          <w:sz w:val="24"/>
          <w:lang w:eastAsia="zh-CN"/>
        </w:rPr>
        <w:t>东阿县御颜堂阿胶制品有限公司</w:t>
      </w:r>
      <w:r>
        <w:rPr>
          <w:rFonts w:hint="default" w:ascii="Times New Roman" w:hAnsi="Times New Roman" w:cs="Times New Roman"/>
          <w:color w:val="000000"/>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五、专家意见</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（1）</w:t>
      </w:r>
      <w:r>
        <w:rPr>
          <w:rFonts w:hint="eastAsia" w:ascii="Times New Roman" w:hAnsi="Times New Roman" w:cs="Times New Roman" w:eastAsiaTheme="minorEastAsia"/>
          <w:sz w:val="24"/>
          <w:lang w:eastAsia="zh-CN"/>
        </w:rPr>
        <w:t>严格落实污水处理站运行情况，做好日常巡检、维修、维护、保养等工作，确保污染物达标排放</w:t>
      </w:r>
      <w:r>
        <w:rPr>
          <w:rFonts w:hint="default" w:ascii="Times New Roman" w:hAnsi="Times New Roman" w:cs="Times New Roman" w:eastAsiaTheme="minorEastAsia"/>
          <w:sz w:val="24"/>
          <w:lang w:eastAsia="zh-CN"/>
        </w:rPr>
        <w:t>。</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eastAsia"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2</w:t>
      </w:r>
      <w:r>
        <w:rPr>
          <w:rFonts w:hint="default" w:ascii="Times New Roman" w:hAnsi="Times New Roman" w:cs="Times New Roman" w:eastAsiaTheme="minorEastAsia"/>
          <w:sz w:val="24"/>
          <w:lang w:eastAsia="zh-CN"/>
        </w:rPr>
        <w:t>）</w:t>
      </w:r>
      <w:r>
        <w:rPr>
          <w:rFonts w:hint="eastAsia" w:ascii="Times New Roman" w:hAnsi="Times New Roman" w:cs="Times New Roman" w:eastAsiaTheme="minorEastAsia"/>
          <w:sz w:val="24"/>
          <w:lang w:eastAsia="zh-CN"/>
        </w:rPr>
        <w:t>进一步规范危废间建设，应做到危废间双人双锁、防雨淋措施，地面做好防渗，张贴危废标识牌，危险废物分类存放，完善危废台账。</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eastAsia" w:ascii="Times New Roman" w:hAnsi="Times New Roman" w:cs="Times New Roman" w:eastAsiaTheme="minorEastAsia"/>
          <w:sz w:val="24"/>
          <w:lang w:eastAsia="zh-CN"/>
        </w:rPr>
      </w:pPr>
      <w:r>
        <w:rPr>
          <w:rFonts w:hint="eastAsia" w:ascii="Times New Roman" w:hAnsi="Times New Roman" w:cs="Times New Roman" w:eastAsiaTheme="minorEastAsia"/>
          <w:sz w:val="24"/>
          <w:lang w:eastAsia="zh-CN"/>
        </w:rPr>
        <w:t>（</w:t>
      </w:r>
      <w:r>
        <w:rPr>
          <w:rFonts w:hint="eastAsia" w:ascii="Times New Roman" w:hAnsi="Times New Roman" w:cs="Times New Roman" w:eastAsiaTheme="minorEastAsia"/>
          <w:sz w:val="24"/>
          <w:lang w:val="en-US" w:eastAsia="zh-CN"/>
        </w:rPr>
        <w:t>3</w:t>
      </w:r>
      <w:r>
        <w:rPr>
          <w:rFonts w:hint="eastAsia" w:ascii="Times New Roman" w:hAnsi="Times New Roman" w:cs="Times New Roman" w:eastAsiaTheme="minorEastAsia"/>
          <w:sz w:val="24"/>
          <w:lang w:eastAsia="zh-CN"/>
        </w:rPr>
        <w:t>）</w:t>
      </w:r>
      <w:r>
        <w:rPr>
          <w:rFonts w:hint="default" w:ascii="Times New Roman" w:hAnsi="Times New Roman" w:cs="Times New Roman" w:eastAsiaTheme="minorEastAsia"/>
          <w:sz w:val="24"/>
          <w:szCs w:val="24"/>
          <w:lang w:eastAsia="zh-CN"/>
        </w:rPr>
        <w:t>完善风险防范设施，定期开展废气、</w:t>
      </w:r>
      <w:r>
        <w:rPr>
          <w:rFonts w:hint="eastAsia" w:ascii="Times New Roman" w:hAnsi="Times New Roman" w:cs="Times New Roman" w:eastAsiaTheme="minorEastAsia"/>
          <w:sz w:val="24"/>
          <w:szCs w:val="24"/>
          <w:lang w:eastAsia="zh-CN"/>
        </w:rPr>
        <w:t>废水、</w:t>
      </w:r>
      <w:r>
        <w:rPr>
          <w:rFonts w:hint="default" w:ascii="Times New Roman" w:hAnsi="Times New Roman" w:cs="Times New Roman" w:eastAsiaTheme="minorEastAsia"/>
          <w:sz w:val="24"/>
          <w:szCs w:val="24"/>
          <w:lang w:eastAsia="zh-CN"/>
        </w:rPr>
        <w:t>噪声等污染物自行监测</w:t>
      </w:r>
      <w:r>
        <w:rPr>
          <w:rFonts w:hint="eastAsia" w:ascii="Times New Roman" w:hAnsi="Times New Roman" w:cs="Times New Roman" w:eastAsiaTheme="minorEastAsia"/>
          <w:sz w:val="24"/>
          <w:lang w:eastAsia="zh-CN"/>
        </w:rPr>
        <w:t>。</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eastAsia" w:ascii="Times New Roman" w:hAnsi="Times New Roman" w:cs="Times New Roman" w:eastAsiaTheme="minorEastAsia"/>
          <w:sz w:val="24"/>
          <w:lang w:eastAsia="zh-CN"/>
        </w:rPr>
      </w:pPr>
      <w:r>
        <w:rPr>
          <w:rFonts w:hint="eastAsia" w:ascii="Times New Roman" w:hAnsi="Times New Roman" w:cs="Times New Roman" w:eastAsiaTheme="minorEastAsia"/>
          <w:sz w:val="24"/>
          <w:lang w:eastAsia="zh-CN"/>
        </w:rPr>
        <w:t>（</w:t>
      </w:r>
      <w:r>
        <w:rPr>
          <w:rFonts w:hint="eastAsia" w:ascii="Times New Roman" w:hAnsi="Times New Roman" w:cs="Times New Roman" w:eastAsiaTheme="minorEastAsia"/>
          <w:sz w:val="24"/>
          <w:lang w:val="en-US" w:eastAsia="zh-CN"/>
        </w:rPr>
        <w:t>4</w:t>
      </w:r>
      <w:r>
        <w:rPr>
          <w:rFonts w:hint="eastAsia" w:ascii="Times New Roman" w:hAnsi="Times New Roman" w:cs="Times New Roman" w:eastAsiaTheme="minorEastAsia"/>
          <w:sz w:val="24"/>
          <w:lang w:eastAsia="zh-CN"/>
        </w:rPr>
        <w:t>）项目运营过程中，</w:t>
      </w:r>
      <w:r>
        <w:rPr>
          <w:rFonts w:hint="default" w:ascii="Times New Roman" w:hAnsi="Times New Roman" w:eastAsia="宋体" w:cs="Times New Roman"/>
          <w:sz w:val="24"/>
          <w:szCs w:val="24"/>
        </w:rPr>
        <w:t>固体废弃物执行《一般工业固体废物贮存和填埋污染控制标准》（GB 18599-20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）和《危险废物贮存污染控制标准》（GB18597-2001）及修改单要求</w:t>
      </w:r>
      <w:r>
        <w:rPr>
          <w:rFonts w:hint="default" w:ascii="Times New Roman" w:hAnsi="Times New Roman" w:eastAsia="宋体" w:cs="Times New Roman"/>
          <w:color w:val="auto"/>
          <w:sz w:val="24"/>
          <w:szCs w:val="24"/>
        </w:rPr>
        <w:t>。</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jc w:val="right"/>
        <w:textAlignment w:val="auto"/>
        <w:rPr>
          <w:rFonts w:hint="eastAsia" w:cs="Times New Roman"/>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eastAsia" w:cs="Times New Roman"/>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eastAsia" w:cs="Times New Roman"/>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eastAsia" w:cs="Times New Roman"/>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rPr>
      </w:pPr>
      <w:r>
        <w:rPr>
          <w:rFonts w:hint="eastAsia" w:cs="Times New Roman"/>
          <w:b/>
          <w:bCs/>
          <w:sz w:val="28"/>
          <w:szCs w:val="28"/>
          <w:lang w:eastAsia="zh-CN"/>
        </w:rPr>
        <w:t>东阿县御颜堂阿胶制品有限公司</w:t>
      </w:r>
      <w:r>
        <w:rPr>
          <w:rFonts w:hint="default" w:ascii="Times New Roman" w:hAnsi="Times New Roman" w:cs="Times New Roman"/>
          <w:b/>
          <w:bCs/>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eastAsia="楷体" w:cs="Times New Roman"/>
          <w:sz w:val="24"/>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b/>
          <w:bCs/>
          <w:sz w:val="28"/>
          <w:szCs w:val="28"/>
        </w:rPr>
        <w:t xml:space="preserve">   </w:t>
      </w:r>
      <w:r>
        <w:rPr>
          <w:rFonts w:hint="default" w:ascii="Times New Roman" w:hAnsi="Times New Roman" w:cs="Times New Roman"/>
          <w:b/>
          <w:bCs/>
          <w:sz w:val="28"/>
          <w:szCs w:val="28"/>
        </w:rPr>
        <w:t>202</w:t>
      </w:r>
      <w:r>
        <w:rPr>
          <w:rFonts w:hint="eastAsia" w:cs="Times New Roman"/>
          <w:b/>
          <w:bCs/>
          <w:sz w:val="28"/>
          <w:szCs w:val="28"/>
          <w:lang w:val="en-US" w:eastAsia="zh-CN"/>
        </w:rPr>
        <w:t>2</w:t>
      </w:r>
      <w:r>
        <w:rPr>
          <w:rFonts w:hint="default" w:ascii="Times New Roman" w:hAnsi="Times New Roman" w:cs="Times New Roman"/>
          <w:b/>
          <w:bCs/>
          <w:sz w:val="28"/>
          <w:szCs w:val="28"/>
        </w:rPr>
        <w:t>年</w:t>
      </w:r>
      <w:r>
        <w:rPr>
          <w:rFonts w:hint="eastAsia" w:cs="Times New Roman"/>
          <w:b/>
          <w:bCs/>
          <w:sz w:val="28"/>
          <w:szCs w:val="28"/>
          <w:lang w:val="en-US" w:eastAsia="zh-CN"/>
        </w:rPr>
        <w:t>06</w:t>
      </w:r>
      <w:r>
        <w:rPr>
          <w:rFonts w:hint="default" w:ascii="Times New Roman" w:hAnsi="Times New Roman" w:cs="Times New Roman"/>
          <w:b/>
          <w:bCs/>
          <w:sz w:val="28"/>
          <w:szCs w:val="28"/>
        </w:rPr>
        <w:t>月</w:t>
      </w:r>
      <w:r>
        <w:rPr>
          <w:rFonts w:hint="eastAsia" w:cs="Times New Roman"/>
          <w:b/>
          <w:bCs/>
          <w:sz w:val="28"/>
          <w:szCs w:val="28"/>
          <w:lang w:val="en-US" w:eastAsia="zh-CN"/>
        </w:rPr>
        <w:t>04</w:t>
      </w:r>
      <w:r>
        <w:rPr>
          <w:rFonts w:hint="default" w:ascii="Times New Roman" w:hAnsi="Times New Roman" w:cs="Times New Roman"/>
          <w:b/>
          <w:bCs/>
          <w:sz w:val="28"/>
          <w:szCs w:val="28"/>
        </w:rPr>
        <w:t>日</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1841BE"/>
    <w:multiLevelType w:val="singleLevel"/>
    <w:tmpl w:val="C21841BE"/>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WY2ZmI4MzU2OWY3MDgzODYxYjk0YzRkOGU5YzBlYTYifQ=="/>
  </w:docVars>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A71F2"/>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16519C1"/>
    <w:rsid w:val="01814321"/>
    <w:rsid w:val="01822573"/>
    <w:rsid w:val="02170638"/>
    <w:rsid w:val="02181129"/>
    <w:rsid w:val="024617F2"/>
    <w:rsid w:val="024912E2"/>
    <w:rsid w:val="02CD19B5"/>
    <w:rsid w:val="02DF39F5"/>
    <w:rsid w:val="02E977E9"/>
    <w:rsid w:val="03031491"/>
    <w:rsid w:val="032E1706"/>
    <w:rsid w:val="036C34DA"/>
    <w:rsid w:val="03B1131C"/>
    <w:rsid w:val="03C230FA"/>
    <w:rsid w:val="03D33559"/>
    <w:rsid w:val="03DC71E6"/>
    <w:rsid w:val="03DE5A5A"/>
    <w:rsid w:val="04325910"/>
    <w:rsid w:val="04334B5D"/>
    <w:rsid w:val="04335DA6"/>
    <w:rsid w:val="044C330C"/>
    <w:rsid w:val="048F6451"/>
    <w:rsid w:val="04A27DB5"/>
    <w:rsid w:val="04BF763A"/>
    <w:rsid w:val="04D631EA"/>
    <w:rsid w:val="04E4350F"/>
    <w:rsid w:val="050B0C41"/>
    <w:rsid w:val="050C38FD"/>
    <w:rsid w:val="05883ED0"/>
    <w:rsid w:val="05E355AA"/>
    <w:rsid w:val="060C68AF"/>
    <w:rsid w:val="06463ED3"/>
    <w:rsid w:val="06677F89"/>
    <w:rsid w:val="069A05FE"/>
    <w:rsid w:val="06A72DCB"/>
    <w:rsid w:val="077374C2"/>
    <w:rsid w:val="07935729"/>
    <w:rsid w:val="07F13FAE"/>
    <w:rsid w:val="080C1189"/>
    <w:rsid w:val="08193B10"/>
    <w:rsid w:val="08325C6B"/>
    <w:rsid w:val="08516DB8"/>
    <w:rsid w:val="08535D04"/>
    <w:rsid w:val="087D7F38"/>
    <w:rsid w:val="08AF225F"/>
    <w:rsid w:val="08DC4DF6"/>
    <w:rsid w:val="0947629D"/>
    <w:rsid w:val="09767DA1"/>
    <w:rsid w:val="09777F96"/>
    <w:rsid w:val="097906FF"/>
    <w:rsid w:val="09F91840"/>
    <w:rsid w:val="0A5F47A2"/>
    <w:rsid w:val="0AD52D3C"/>
    <w:rsid w:val="0AEE0C79"/>
    <w:rsid w:val="0B040843"/>
    <w:rsid w:val="0B3710F6"/>
    <w:rsid w:val="0B626F71"/>
    <w:rsid w:val="0B7D7E95"/>
    <w:rsid w:val="0B845139"/>
    <w:rsid w:val="0BB023D2"/>
    <w:rsid w:val="0C2835D4"/>
    <w:rsid w:val="0C322DE7"/>
    <w:rsid w:val="0C3E42E1"/>
    <w:rsid w:val="0C5E62E7"/>
    <w:rsid w:val="0C8F1FE8"/>
    <w:rsid w:val="0CD67C16"/>
    <w:rsid w:val="0D0F4AF8"/>
    <w:rsid w:val="0D2C6A51"/>
    <w:rsid w:val="0D6841AF"/>
    <w:rsid w:val="0D9E2ED3"/>
    <w:rsid w:val="0DB31D06"/>
    <w:rsid w:val="0DC3019B"/>
    <w:rsid w:val="0DFF4F4B"/>
    <w:rsid w:val="0E0C0B17"/>
    <w:rsid w:val="0EB14497"/>
    <w:rsid w:val="0EBF117A"/>
    <w:rsid w:val="0F6C6610"/>
    <w:rsid w:val="0FA20239"/>
    <w:rsid w:val="0FD06B9F"/>
    <w:rsid w:val="0FE12B5A"/>
    <w:rsid w:val="101C3B92"/>
    <w:rsid w:val="105E13A5"/>
    <w:rsid w:val="105F1A99"/>
    <w:rsid w:val="106F57BC"/>
    <w:rsid w:val="107735B4"/>
    <w:rsid w:val="10912A5C"/>
    <w:rsid w:val="10BE12C1"/>
    <w:rsid w:val="10D206F5"/>
    <w:rsid w:val="116A49DC"/>
    <w:rsid w:val="11785740"/>
    <w:rsid w:val="1189130B"/>
    <w:rsid w:val="1192799E"/>
    <w:rsid w:val="11C63CC0"/>
    <w:rsid w:val="11C646FD"/>
    <w:rsid w:val="11C664AC"/>
    <w:rsid w:val="11EC35E8"/>
    <w:rsid w:val="123C051C"/>
    <w:rsid w:val="12843C71"/>
    <w:rsid w:val="12EA441C"/>
    <w:rsid w:val="136C0825"/>
    <w:rsid w:val="14072DAB"/>
    <w:rsid w:val="14CC6E95"/>
    <w:rsid w:val="153C05CF"/>
    <w:rsid w:val="15495025"/>
    <w:rsid w:val="154A4608"/>
    <w:rsid w:val="159F284D"/>
    <w:rsid w:val="15B76792"/>
    <w:rsid w:val="16261F15"/>
    <w:rsid w:val="16280FDC"/>
    <w:rsid w:val="16796AB9"/>
    <w:rsid w:val="16B25250"/>
    <w:rsid w:val="17114434"/>
    <w:rsid w:val="1720726F"/>
    <w:rsid w:val="179901BE"/>
    <w:rsid w:val="17B66550"/>
    <w:rsid w:val="180C1CE4"/>
    <w:rsid w:val="1887595F"/>
    <w:rsid w:val="188E2022"/>
    <w:rsid w:val="189A2440"/>
    <w:rsid w:val="194F322A"/>
    <w:rsid w:val="194F4FD8"/>
    <w:rsid w:val="197E766C"/>
    <w:rsid w:val="19C33764"/>
    <w:rsid w:val="19C808E7"/>
    <w:rsid w:val="19E80F89"/>
    <w:rsid w:val="1A1158EF"/>
    <w:rsid w:val="1AD14C15"/>
    <w:rsid w:val="1B040045"/>
    <w:rsid w:val="1B3B1CB8"/>
    <w:rsid w:val="1B5600FE"/>
    <w:rsid w:val="1B5934FA"/>
    <w:rsid w:val="1C0B7AD0"/>
    <w:rsid w:val="1C0D4CD7"/>
    <w:rsid w:val="1C356C65"/>
    <w:rsid w:val="1C424981"/>
    <w:rsid w:val="1C4526C3"/>
    <w:rsid w:val="1C9F1DD3"/>
    <w:rsid w:val="1CAE2016"/>
    <w:rsid w:val="1CBE20A3"/>
    <w:rsid w:val="1CCD7FA6"/>
    <w:rsid w:val="1CFD4D4B"/>
    <w:rsid w:val="1D3249F5"/>
    <w:rsid w:val="1D5176AB"/>
    <w:rsid w:val="1D557948"/>
    <w:rsid w:val="1D8029D4"/>
    <w:rsid w:val="1D884F5D"/>
    <w:rsid w:val="1DDA41FD"/>
    <w:rsid w:val="1DE81558"/>
    <w:rsid w:val="1E075E82"/>
    <w:rsid w:val="1E0F0229"/>
    <w:rsid w:val="1E6A01BF"/>
    <w:rsid w:val="1EA96F39"/>
    <w:rsid w:val="1EB23C92"/>
    <w:rsid w:val="1ED52308"/>
    <w:rsid w:val="1F550E6F"/>
    <w:rsid w:val="1F9C28CF"/>
    <w:rsid w:val="1FD06747"/>
    <w:rsid w:val="1FFD429B"/>
    <w:rsid w:val="20B41BC5"/>
    <w:rsid w:val="20B67FC9"/>
    <w:rsid w:val="211B5472"/>
    <w:rsid w:val="21995806"/>
    <w:rsid w:val="21DF2C72"/>
    <w:rsid w:val="223B259E"/>
    <w:rsid w:val="226B0E09"/>
    <w:rsid w:val="229C0B63"/>
    <w:rsid w:val="22BA54AB"/>
    <w:rsid w:val="22D66A2F"/>
    <w:rsid w:val="22FF7354"/>
    <w:rsid w:val="23403DB4"/>
    <w:rsid w:val="23E53F52"/>
    <w:rsid w:val="23FA5FE3"/>
    <w:rsid w:val="24CD76F9"/>
    <w:rsid w:val="25153BB3"/>
    <w:rsid w:val="255147A5"/>
    <w:rsid w:val="25562AED"/>
    <w:rsid w:val="255641F8"/>
    <w:rsid w:val="26814DB8"/>
    <w:rsid w:val="26BB18A4"/>
    <w:rsid w:val="26C012C4"/>
    <w:rsid w:val="26F176CF"/>
    <w:rsid w:val="26FD2518"/>
    <w:rsid w:val="271D68DD"/>
    <w:rsid w:val="27483067"/>
    <w:rsid w:val="27540B3C"/>
    <w:rsid w:val="275F15F7"/>
    <w:rsid w:val="27D05536"/>
    <w:rsid w:val="283C5140"/>
    <w:rsid w:val="28537F15"/>
    <w:rsid w:val="28594C9C"/>
    <w:rsid w:val="28CD7CC8"/>
    <w:rsid w:val="28EE0068"/>
    <w:rsid w:val="293076B9"/>
    <w:rsid w:val="29573470"/>
    <w:rsid w:val="298962E5"/>
    <w:rsid w:val="29C94933"/>
    <w:rsid w:val="29D37560"/>
    <w:rsid w:val="29DC2379"/>
    <w:rsid w:val="2A3A138D"/>
    <w:rsid w:val="2AD74E2E"/>
    <w:rsid w:val="2AE01F34"/>
    <w:rsid w:val="2AF43C32"/>
    <w:rsid w:val="2AFA28CA"/>
    <w:rsid w:val="2B30453E"/>
    <w:rsid w:val="2B34402E"/>
    <w:rsid w:val="2B404781"/>
    <w:rsid w:val="2B7E52A9"/>
    <w:rsid w:val="2B83656C"/>
    <w:rsid w:val="2B9C5770"/>
    <w:rsid w:val="2BBD34EE"/>
    <w:rsid w:val="2C4402A1"/>
    <w:rsid w:val="2C5030EA"/>
    <w:rsid w:val="2C7C3EDF"/>
    <w:rsid w:val="2C862667"/>
    <w:rsid w:val="2C8F3160"/>
    <w:rsid w:val="2CBE39A9"/>
    <w:rsid w:val="2CFB648A"/>
    <w:rsid w:val="2D1E6D44"/>
    <w:rsid w:val="2D5C786C"/>
    <w:rsid w:val="2D6E78BE"/>
    <w:rsid w:val="2D737010"/>
    <w:rsid w:val="2D8B56A2"/>
    <w:rsid w:val="2D96384A"/>
    <w:rsid w:val="2D9A074B"/>
    <w:rsid w:val="2DCE575E"/>
    <w:rsid w:val="2EA02A03"/>
    <w:rsid w:val="2EA339A5"/>
    <w:rsid w:val="2EC102CF"/>
    <w:rsid w:val="2EC61441"/>
    <w:rsid w:val="2EF57F78"/>
    <w:rsid w:val="2F3C4ED9"/>
    <w:rsid w:val="2F41010A"/>
    <w:rsid w:val="2F45678C"/>
    <w:rsid w:val="2F6B3D97"/>
    <w:rsid w:val="2FA55A34"/>
    <w:rsid w:val="2FD7253B"/>
    <w:rsid w:val="2FFB336C"/>
    <w:rsid w:val="302428C3"/>
    <w:rsid w:val="30A526A0"/>
    <w:rsid w:val="30CC6AB7"/>
    <w:rsid w:val="30EB4C80"/>
    <w:rsid w:val="317C228B"/>
    <w:rsid w:val="317D1870"/>
    <w:rsid w:val="31E3055C"/>
    <w:rsid w:val="31EE13DB"/>
    <w:rsid w:val="329B4F01"/>
    <w:rsid w:val="32C700BB"/>
    <w:rsid w:val="32CB5278"/>
    <w:rsid w:val="3398641F"/>
    <w:rsid w:val="33D71DA5"/>
    <w:rsid w:val="3421711A"/>
    <w:rsid w:val="34821CCF"/>
    <w:rsid w:val="34C12DD7"/>
    <w:rsid w:val="34FB5E9D"/>
    <w:rsid w:val="35034C06"/>
    <w:rsid w:val="35FA7C22"/>
    <w:rsid w:val="360A3666"/>
    <w:rsid w:val="361B13DF"/>
    <w:rsid w:val="36331A3E"/>
    <w:rsid w:val="365C4E25"/>
    <w:rsid w:val="36721EAF"/>
    <w:rsid w:val="36991215"/>
    <w:rsid w:val="36D64B0C"/>
    <w:rsid w:val="370A2766"/>
    <w:rsid w:val="372E04CB"/>
    <w:rsid w:val="38042622"/>
    <w:rsid w:val="38233460"/>
    <w:rsid w:val="383608AC"/>
    <w:rsid w:val="38961E84"/>
    <w:rsid w:val="38DB3D3B"/>
    <w:rsid w:val="39802684"/>
    <w:rsid w:val="39A60AAD"/>
    <w:rsid w:val="3A5274D5"/>
    <w:rsid w:val="3ADE7B13"/>
    <w:rsid w:val="3AFB6916"/>
    <w:rsid w:val="3B1F0857"/>
    <w:rsid w:val="3B334302"/>
    <w:rsid w:val="3B7B0D16"/>
    <w:rsid w:val="3BA24A74"/>
    <w:rsid w:val="3BD31641"/>
    <w:rsid w:val="3C261771"/>
    <w:rsid w:val="3C2E0BD3"/>
    <w:rsid w:val="3C6D114E"/>
    <w:rsid w:val="3C9C1A33"/>
    <w:rsid w:val="3C9D29D7"/>
    <w:rsid w:val="3CE42DD7"/>
    <w:rsid w:val="3D0870C9"/>
    <w:rsid w:val="3D0F68FD"/>
    <w:rsid w:val="3D6F0EF6"/>
    <w:rsid w:val="3D734E8A"/>
    <w:rsid w:val="3D8C1AA8"/>
    <w:rsid w:val="3DA077DE"/>
    <w:rsid w:val="3DC2371B"/>
    <w:rsid w:val="3DE96493"/>
    <w:rsid w:val="3E407687"/>
    <w:rsid w:val="3E5C226F"/>
    <w:rsid w:val="3E7B0239"/>
    <w:rsid w:val="3EA73B7A"/>
    <w:rsid w:val="3EFE5931"/>
    <w:rsid w:val="3F084822"/>
    <w:rsid w:val="3F2301EA"/>
    <w:rsid w:val="3F4A39C9"/>
    <w:rsid w:val="3F6E5909"/>
    <w:rsid w:val="3F7C162E"/>
    <w:rsid w:val="3F9410E8"/>
    <w:rsid w:val="3FDA2571"/>
    <w:rsid w:val="3FE03515"/>
    <w:rsid w:val="3FED27E9"/>
    <w:rsid w:val="3FEF631E"/>
    <w:rsid w:val="3FFA0F4B"/>
    <w:rsid w:val="40267F92"/>
    <w:rsid w:val="40516DBF"/>
    <w:rsid w:val="40E83499"/>
    <w:rsid w:val="410C6036"/>
    <w:rsid w:val="41132EB2"/>
    <w:rsid w:val="415C6D0C"/>
    <w:rsid w:val="415D5C35"/>
    <w:rsid w:val="41C23CEA"/>
    <w:rsid w:val="41DD28D2"/>
    <w:rsid w:val="41E00614"/>
    <w:rsid w:val="420A743F"/>
    <w:rsid w:val="42312C1E"/>
    <w:rsid w:val="43675F86"/>
    <w:rsid w:val="43A044FF"/>
    <w:rsid w:val="43AD2778"/>
    <w:rsid w:val="43BB1639"/>
    <w:rsid w:val="440B5E1C"/>
    <w:rsid w:val="44170FD9"/>
    <w:rsid w:val="44246EDE"/>
    <w:rsid w:val="442742D8"/>
    <w:rsid w:val="446019CC"/>
    <w:rsid w:val="4496320C"/>
    <w:rsid w:val="44BA15F0"/>
    <w:rsid w:val="451B0AE7"/>
    <w:rsid w:val="45212B65"/>
    <w:rsid w:val="45321526"/>
    <w:rsid w:val="45617CBE"/>
    <w:rsid w:val="45D65FB6"/>
    <w:rsid w:val="45F05A40"/>
    <w:rsid w:val="465810C1"/>
    <w:rsid w:val="465927A3"/>
    <w:rsid w:val="46B044E1"/>
    <w:rsid w:val="471072A6"/>
    <w:rsid w:val="472471F5"/>
    <w:rsid w:val="475D18D1"/>
    <w:rsid w:val="47EF7803"/>
    <w:rsid w:val="48027DC9"/>
    <w:rsid w:val="48221986"/>
    <w:rsid w:val="48D2263D"/>
    <w:rsid w:val="49143F5A"/>
    <w:rsid w:val="49387C4F"/>
    <w:rsid w:val="49557B3A"/>
    <w:rsid w:val="4961203A"/>
    <w:rsid w:val="49725FF6"/>
    <w:rsid w:val="49BA3FC9"/>
    <w:rsid w:val="4A4650B2"/>
    <w:rsid w:val="4A6107E8"/>
    <w:rsid w:val="4A963F66"/>
    <w:rsid w:val="4AA6320D"/>
    <w:rsid w:val="4AC47AEB"/>
    <w:rsid w:val="4B1732F9"/>
    <w:rsid w:val="4B423993"/>
    <w:rsid w:val="4B842010"/>
    <w:rsid w:val="4BD0179C"/>
    <w:rsid w:val="4BEB02E1"/>
    <w:rsid w:val="4C0F478D"/>
    <w:rsid w:val="4CC07C2C"/>
    <w:rsid w:val="4CFD02CC"/>
    <w:rsid w:val="4D812CAB"/>
    <w:rsid w:val="4D8E361A"/>
    <w:rsid w:val="4DCC0E43"/>
    <w:rsid w:val="4E30022D"/>
    <w:rsid w:val="4E3308C7"/>
    <w:rsid w:val="4E5E2FEC"/>
    <w:rsid w:val="4E7A5B40"/>
    <w:rsid w:val="4EE51018"/>
    <w:rsid w:val="4F0A0A7E"/>
    <w:rsid w:val="4F4E4E0F"/>
    <w:rsid w:val="4F8C7872"/>
    <w:rsid w:val="4FDF015D"/>
    <w:rsid w:val="505356BB"/>
    <w:rsid w:val="506A5C79"/>
    <w:rsid w:val="50942CF5"/>
    <w:rsid w:val="50C2231D"/>
    <w:rsid w:val="50DC644B"/>
    <w:rsid w:val="510C4F82"/>
    <w:rsid w:val="51654CA1"/>
    <w:rsid w:val="519B00B4"/>
    <w:rsid w:val="51B01DB1"/>
    <w:rsid w:val="51E414C7"/>
    <w:rsid w:val="524B1ADA"/>
    <w:rsid w:val="52505342"/>
    <w:rsid w:val="52927395"/>
    <w:rsid w:val="529F5982"/>
    <w:rsid w:val="52D47D21"/>
    <w:rsid w:val="52FA16B4"/>
    <w:rsid w:val="53013417"/>
    <w:rsid w:val="53081134"/>
    <w:rsid w:val="530D6D8F"/>
    <w:rsid w:val="5334256E"/>
    <w:rsid w:val="537F5EDF"/>
    <w:rsid w:val="53EE096F"/>
    <w:rsid w:val="53F57F4F"/>
    <w:rsid w:val="540D6F47"/>
    <w:rsid w:val="548F6725"/>
    <w:rsid w:val="54CD54A4"/>
    <w:rsid w:val="54E55E41"/>
    <w:rsid w:val="54E65AEA"/>
    <w:rsid w:val="55424CCC"/>
    <w:rsid w:val="56625644"/>
    <w:rsid w:val="569A4E6B"/>
    <w:rsid w:val="56C67AB9"/>
    <w:rsid w:val="56EC7104"/>
    <w:rsid w:val="57042717"/>
    <w:rsid w:val="574D3BFE"/>
    <w:rsid w:val="575C2093"/>
    <w:rsid w:val="5790373B"/>
    <w:rsid w:val="57AD542C"/>
    <w:rsid w:val="57C068F4"/>
    <w:rsid w:val="58067630"/>
    <w:rsid w:val="58254B7B"/>
    <w:rsid w:val="58E11F1F"/>
    <w:rsid w:val="58F20F01"/>
    <w:rsid w:val="59142C25"/>
    <w:rsid w:val="59253085"/>
    <w:rsid w:val="59581022"/>
    <w:rsid w:val="599124C8"/>
    <w:rsid w:val="5A916423"/>
    <w:rsid w:val="5A9372BA"/>
    <w:rsid w:val="5AB62B17"/>
    <w:rsid w:val="5AC71F19"/>
    <w:rsid w:val="5AD85ED5"/>
    <w:rsid w:val="5B073263"/>
    <w:rsid w:val="5B0E0C41"/>
    <w:rsid w:val="5B296730"/>
    <w:rsid w:val="5B462900"/>
    <w:rsid w:val="5B471E03"/>
    <w:rsid w:val="5BA507BB"/>
    <w:rsid w:val="5BAD110F"/>
    <w:rsid w:val="5BC26D6F"/>
    <w:rsid w:val="5BED7335"/>
    <w:rsid w:val="5C687BD7"/>
    <w:rsid w:val="5C7B2FBB"/>
    <w:rsid w:val="5C7F2AAC"/>
    <w:rsid w:val="5C9B6BD5"/>
    <w:rsid w:val="5CB21116"/>
    <w:rsid w:val="5CC44962"/>
    <w:rsid w:val="5CE60D7D"/>
    <w:rsid w:val="5D261179"/>
    <w:rsid w:val="5D6A375C"/>
    <w:rsid w:val="5D9B4125"/>
    <w:rsid w:val="5DCB1D21"/>
    <w:rsid w:val="5DD15589"/>
    <w:rsid w:val="5DFD1EDF"/>
    <w:rsid w:val="5E9860A7"/>
    <w:rsid w:val="5EA66A16"/>
    <w:rsid w:val="5EA93E10"/>
    <w:rsid w:val="5EB9333F"/>
    <w:rsid w:val="5EC97541"/>
    <w:rsid w:val="5EDD2F87"/>
    <w:rsid w:val="5EE26ACD"/>
    <w:rsid w:val="5EE4209E"/>
    <w:rsid w:val="5EEE3F19"/>
    <w:rsid w:val="601870FA"/>
    <w:rsid w:val="60912840"/>
    <w:rsid w:val="60B47432"/>
    <w:rsid w:val="60B6722F"/>
    <w:rsid w:val="60D31080"/>
    <w:rsid w:val="60DB04CD"/>
    <w:rsid w:val="610C2771"/>
    <w:rsid w:val="610F079A"/>
    <w:rsid w:val="615053F3"/>
    <w:rsid w:val="61642270"/>
    <w:rsid w:val="617259C9"/>
    <w:rsid w:val="61826579"/>
    <w:rsid w:val="618943CD"/>
    <w:rsid w:val="61972646"/>
    <w:rsid w:val="61B05463"/>
    <w:rsid w:val="624F3FF1"/>
    <w:rsid w:val="62500A46"/>
    <w:rsid w:val="626F5370"/>
    <w:rsid w:val="62915A06"/>
    <w:rsid w:val="62EF200D"/>
    <w:rsid w:val="634873B4"/>
    <w:rsid w:val="636B6B9E"/>
    <w:rsid w:val="63901BF9"/>
    <w:rsid w:val="63A64DC2"/>
    <w:rsid w:val="63BC686D"/>
    <w:rsid w:val="64786F9F"/>
    <w:rsid w:val="647B624F"/>
    <w:rsid w:val="647E189B"/>
    <w:rsid w:val="64BA2D78"/>
    <w:rsid w:val="64D951B9"/>
    <w:rsid w:val="65183204"/>
    <w:rsid w:val="656C3DE9"/>
    <w:rsid w:val="66171FA7"/>
    <w:rsid w:val="66D07453"/>
    <w:rsid w:val="66DB6D33"/>
    <w:rsid w:val="675F0394"/>
    <w:rsid w:val="67A0522F"/>
    <w:rsid w:val="67CE0D8B"/>
    <w:rsid w:val="68014CBD"/>
    <w:rsid w:val="6841330B"/>
    <w:rsid w:val="686303AD"/>
    <w:rsid w:val="68C308D3"/>
    <w:rsid w:val="68CF0917"/>
    <w:rsid w:val="68EB0A49"/>
    <w:rsid w:val="68F26CC4"/>
    <w:rsid w:val="694738C3"/>
    <w:rsid w:val="6965127B"/>
    <w:rsid w:val="69AE2C22"/>
    <w:rsid w:val="6A1A42F1"/>
    <w:rsid w:val="6A2C3B47"/>
    <w:rsid w:val="6A3B6DCB"/>
    <w:rsid w:val="6A617C95"/>
    <w:rsid w:val="6A721EA2"/>
    <w:rsid w:val="6A966B1A"/>
    <w:rsid w:val="6A9B51EE"/>
    <w:rsid w:val="6B0F149F"/>
    <w:rsid w:val="6B2A277C"/>
    <w:rsid w:val="6B476E8A"/>
    <w:rsid w:val="6B8A1AB8"/>
    <w:rsid w:val="6B96571C"/>
    <w:rsid w:val="6C3D203B"/>
    <w:rsid w:val="6C7D4B2E"/>
    <w:rsid w:val="6C935275"/>
    <w:rsid w:val="6CF11A3A"/>
    <w:rsid w:val="6CF52916"/>
    <w:rsid w:val="6CFA25FB"/>
    <w:rsid w:val="6D1B05CF"/>
    <w:rsid w:val="6DA60F09"/>
    <w:rsid w:val="6DCC18C9"/>
    <w:rsid w:val="6DEB6C80"/>
    <w:rsid w:val="6E0948CB"/>
    <w:rsid w:val="6EAA7F4D"/>
    <w:rsid w:val="6EBE3907"/>
    <w:rsid w:val="6EE42C42"/>
    <w:rsid w:val="6F5619E0"/>
    <w:rsid w:val="6FB24AEE"/>
    <w:rsid w:val="705D4A5A"/>
    <w:rsid w:val="706B4D93"/>
    <w:rsid w:val="70783A62"/>
    <w:rsid w:val="70D213F8"/>
    <w:rsid w:val="70ED2282"/>
    <w:rsid w:val="71076218"/>
    <w:rsid w:val="719373A8"/>
    <w:rsid w:val="71AF7537"/>
    <w:rsid w:val="725B76BF"/>
    <w:rsid w:val="72DA05E4"/>
    <w:rsid w:val="732971FC"/>
    <w:rsid w:val="73314230"/>
    <w:rsid w:val="734D60E8"/>
    <w:rsid w:val="7395275D"/>
    <w:rsid w:val="73CD0149"/>
    <w:rsid w:val="73D90795"/>
    <w:rsid w:val="73F12690"/>
    <w:rsid w:val="73F56970"/>
    <w:rsid w:val="741B054F"/>
    <w:rsid w:val="74234EB6"/>
    <w:rsid w:val="74635F9F"/>
    <w:rsid w:val="747F6622"/>
    <w:rsid w:val="74873414"/>
    <w:rsid w:val="74B131B4"/>
    <w:rsid w:val="74B369B0"/>
    <w:rsid w:val="74FF4332"/>
    <w:rsid w:val="75253ECA"/>
    <w:rsid w:val="756B1B15"/>
    <w:rsid w:val="756B7C19"/>
    <w:rsid w:val="758D4034"/>
    <w:rsid w:val="75C37A55"/>
    <w:rsid w:val="760F4A49"/>
    <w:rsid w:val="7620792E"/>
    <w:rsid w:val="772C33D8"/>
    <w:rsid w:val="7750356B"/>
    <w:rsid w:val="77A567AA"/>
    <w:rsid w:val="77C81353"/>
    <w:rsid w:val="77CD11F2"/>
    <w:rsid w:val="77DB72D8"/>
    <w:rsid w:val="77DF26E3"/>
    <w:rsid w:val="77F141D8"/>
    <w:rsid w:val="780B56E4"/>
    <w:rsid w:val="78116B6B"/>
    <w:rsid w:val="78317827"/>
    <w:rsid w:val="78B638A1"/>
    <w:rsid w:val="78C0027C"/>
    <w:rsid w:val="78E832FB"/>
    <w:rsid w:val="78EF46BD"/>
    <w:rsid w:val="79212CBB"/>
    <w:rsid w:val="792D681D"/>
    <w:rsid w:val="793830BA"/>
    <w:rsid w:val="79991A2D"/>
    <w:rsid w:val="79BC4B92"/>
    <w:rsid w:val="79F44681"/>
    <w:rsid w:val="79F96EEF"/>
    <w:rsid w:val="7A9A206E"/>
    <w:rsid w:val="7AEA5A84"/>
    <w:rsid w:val="7B2E27CC"/>
    <w:rsid w:val="7B5B603A"/>
    <w:rsid w:val="7B663B8D"/>
    <w:rsid w:val="7B6A44CF"/>
    <w:rsid w:val="7BBB7E38"/>
    <w:rsid w:val="7BDA5768"/>
    <w:rsid w:val="7C2C12AD"/>
    <w:rsid w:val="7C594C70"/>
    <w:rsid w:val="7C66113B"/>
    <w:rsid w:val="7C7C1D88"/>
    <w:rsid w:val="7C9020F0"/>
    <w:rsid w:val="7CB67090"/>
    <w:rsid w:val="7D2572D7"/>
    <w:rsid w:val="7D331D7F"/>
    <w:rsid w:val="7D781125"/>
    <w:rsid w:val="7DA4016C"/>
    <w:rsid w:val="7DCF7863"/>
    <w:rsid w:val="7DDF5E47"/>
    <w:rsid w:val="7DE11416"/>
    <w:rsid w:val="7E0E3838"/>
    <w:rsid w:val="7E284750"/>
    <w:rsid w:val="7E3E4850"/>
    <w:rsid w:val="7EBC3294"/>
    <w:rsid w:val="7F5B2AAD"/>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Normal Indent"/>
    <w:basedOn w:val="1"/>
    <w:qFormat/>
    <w:uiPriority w:val="0"/>
    <w:pPr>
      <w:ind w:firstLine="420" w:firstLineChars="200"/>
    </w:pPr>
  </w:style>
  <w:style w:type="paragraph" w:styleId="5">
    <w:name w:val="annotation text"/>
    <w:basedOn w:val="1"/>
    <w:link w:val="27"/>
    <w:unhideWhenUsed/>
    <w:qFormat/>
    <w:uiPriority w:val="0"/>
    <w:pPr>
      <w:jc w:val="left"/>
    </w:pPr>
  </w:style>
  <w:style w:type="paragraph" w:styleId="6">
    <w:name w:val="Body Text"/>
    <w:basedOn w:val="1"/>
    <w:next w:val="7"/>
    <w:qFormat/>
    <w:uiPriority w:val="0"/>
    <w:pPr>
      <w:spacing w:after="120"/>
    </w:pPr>
  </w:style>
  <w:style w:type="paragraph" w:styleId="7">
    <w:name w:val="Date"/>
    <w:basedOn w:val="1"/>
    <w:next w:val="1"/>
    <w:qFormat/>
    <w:uiPriority w:val="0"/>
    <w:pPr>
      <w:ind w:left="100" w:leftChars="2500"/>
    </w:pPr>
    <w:rPr>
      <w:rFonts w:ascii="宋体" w:hAnsi="宋体"/>
      <w:szCs w:val="24"/>
    </w:rPr>
  </w:style>
  <w:style w:type="paragraph" w:styleId="8">
    <w:name w:val="Body Text Indent"/>
    <w:basedOn w:val="1"/>
    <w:qFormat/>
    <w:uiPriority w:val="0"/>
    <w:pPr>
      <w:ind w:right="-100" w:firstLine="560" w:firstLineChars="200"/>
    </w:pPr>
    <w:rPr>
      <w:sz w:val="28"/>
    </w:rPr>
  </w:style>
  <w:style w:type="paragraph" w:styleId="9">
    <w:name w:val="Plain Text"/>
    <w:basedOn w:val="1"/>
    <w:semiHidden/>
    <w:unhideWhenUsed/>
    <w:qFormat/>
    <w:uiPriority w:val="99"/>
    <w:rPr>
      <w:rFonts w:ascii="宋体" w:hAnsi="Courier New" w:cs="Courier New"/>
      <w:szCs w:val="21"/>
    </w:rPr>
  </w:style>
  <w:style w:type="paragraph" w:styleId="10">
    <w:name w:val="Balloon Text"/>
    <w:basedOn w:val="1"/>
    <w:link w:val="25"/>
    <w:semiHidden/>
    <w:unhideWhenUsed/>
    <w:qFormat/>
    <w:uiPriority w:val="99"/>
    <w:rPr>
      <w:sz w:val="18"/>
      <w:szCs w:val="18"/>
    </w:rPr>
  </w:style>
  <w:style w:type="paragraph" w:styleId="11">
    <w:name w:val="footer"/>
    <w:basedOn w:val="1"/>
    <w:link w:val="20"/>
    <w:semiHidden/>
    <w:qFormat/>
    <w:uiPriority w:val="99"/>
    <w:pPr>
      <w:tabs>
        <w:tab w:val="center" w:pos="4153"/>
        <w:tab w:val="right" w:pos="8306"/>
      </w:tabs>
      <w:snapToGrid w:val="0"/>
      <w:jc w:val="left"/>
    </w:pPr>
    <w:rPr>
      <w:sz w:val="18"/>
      <w:szCs w:val="18"/>
    </w:rPr>
  </w:style>
  <w:style w:type="paragraph" w:styleId="12">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3">
    <w:name w:val="List"/>
    <w:basedOn w:val="1"/>
    <w:unhideWhenUsed/>
    <w:qFormat/>
    <w:uiPriority w:val="99"/>
    <w:pPr>
      <w:spacing w:line="320" w:lineRule="exact"/>
      <w:jc w:val="center"/>
    </w:pPr>
    <w:rPr>
      <w:sz w:val="20"/>
    </w:rPr>
  </w:style>
  <w:style w:type="paragraph" w:styleId="14">
    <w:name w:val="Body Text First Indent 2"/>
    <w:basedOn w:val="8"/>
    <w:qFormat/>
    <w:uiPriority w:val="0"/>
    <w:pPr>
      <w:ind w:firstLine="420"/>
    </w:pPr>
  </w:style>
  <w:style w:type="table" w:styleId="16">
    <w:name w:val="Table Grid"/>
    <w:basedOn w:val="15"/>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9">
    <w:name w:val="页眉 Char"/>
    <w:basedOn w:val="17"/>
    <w:link w:val="12"/>
    <w:semiHidden/>
    <w:qFormat/>
    <w:locked/>
    <w:uiPriority w:val="99"/>
    <w:rPr>
      <w:rFonts w:cs="Times New Roman"/>
      <w:sz w:val="18"/>
      <w:szCs w:val="18"/>
    </w:rPr>
  </w:style>
  <w:style w:type="character" w:customStyle="1" w:styleId="20">
    <w:name w:val="页脚 Char"/>
    <w:basedOn w:val="17"/>
    <w:link w:val="11"/>
    <w:semiHidden/>
    <w:qFormat/>
    <w:locked/>
    <w:uiPriority w:val="99"/>
    <w:rPr>
      <w:rFonts w:cs="Times New Roman"/>
      <w:sz w:val="18"/>
      <w:szCs w:val="18"/>
    </w:rPr>
  </w:style>
  <w:style w:type="paragraph" w:styleId="21">
    <w:name w:val="List Paragraph"/>
    <w:basedOn w:val="1"/>
    <w:qFormat/>
    <w:uiPriority w:val="99"/>
    <w:pPr>
      <w:ind w:firstLine="420" w:firstLineChars="200"/>
    </w:pPr>
  </w:style>
  <w:style w:type="character" w:customStyle="1" w:styleId="22">
    <w:name w:val="正1 Char"/>
    <w:link w:val="23"/>
    <w:qFormat/>
    <w:locked/>
    <w:uiPriority w:val="99"/>
    <w:rPr>
      <w:rFonts w:eastAsia="楷体_GB2312"/>
      <w:sz w:val="24"/>
    </w:rPr>
  </w:style>
  <w:style w:type="paragraph" w:customStyle="1" w:styleId="23">
    <w:name w:val="正1"/>
    <w:basedOn w:val="1"/>
    <w:link w:val="22"/>
    <w:qFormat/>
    <w:uiPriority w:val="99"/>
    <w:pPr>
      <w:spacing w:line="360" w:lineRule="auto"/>
      <w:ind w:firstLine="200" w:firstLineChars="200"/>
      <w:jc w:val="left"/>
    </w:pPr>
    <w:rPr>
      <w:rFonts w:ascii="Calibri" w:hAnsi="Calibri" w:eastAsia="楷体_GB2312"/>
      <w:kern w:val="0"/>
      <w:sz w:val="24"/>
    </w:rPr>
  </w:style>
  <w:style w:type="paragraph" w:customStyle="1" w:styleId="24">
    <w:name w:val="Char Char Char Char Char Char Char"/>
    <w:basedOn w:val="1"/>
    <w:qFormat/>
    <w:uiPriority w:val="99"/>
  </w:style>
  <w:style w:type="character" w:customStyle="1" w:styleId="25">
    <w:name w:val="批注框文本 Char"/>
    <w:basedOn w:val="17"/>
    <w:link w:val="10"/>
    <w:semiHidden/>
    <w:qFormat/>
    <w:uiPriority w:val="99"/>
    <w:rPr>
      <w:rFonts w:ascii="Times New Roman" w:hAnsi="Times New Roman"/>
      <w:kern w:val="2"/>
      <w:sz w:val="18"/>
      <w:szCs w:val="18"/>
    </w:rPr>
  </w:style>
  <w:style w:type="paragraph" w:customStyle="1" w:styleId="2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7">
    <w:name w:val="批注文字 Char"/>
    <w:basedOn w:val="17"/>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3406</Words>
  <Characters>3732</Characters>
  <Lines>19</Lines>
  <Paragraphs>5</Paragraphs>
  <TotalTime>0</TotalTime>
  <ScaleCrop>false</ScaleCrop>
  <LinksUpToDate>false</LinksUpToDate>
  <CharactersWithSpaces>3797</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2022-07-12T08:40:15Z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90D7E0AED39D467A811A102725140C7A</vt:lpwstr>
  </property>
</Properties>
</file>