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20"/>
        </w:tabs>
        <w:spacing w:line="360" w:lineRule="auto"/>
        <w:ind w:left="218" w:leftChars="104" w:firstLine="0" w:firstLineChars="0"/>
        <w:jc w:val="center"/>
        <w:rPr>
          <w:rFonts w:hint="eastAsia" w:cs="Times New Roman"/>
          <w:b/>
          <w:color w:val="auto"/>
          <w:sz w:val="32"/>
          <w:szCs w:val="32"/>
          <w:lang w:val="en-US" w:eastAsia="zh-CN"/>
        </w:rPr>
      </w:pPr>
      <w:r>
        <w:rPr>
          <w:rFonts w:hint="eastAsia" w:cs="Times New Roman"/>
          <w:b/>
          <w:color w:val="auto"/>
          <w:sz w:val="32"/>
          <w:szCs w:val="32"/>
          <w:lang w:val="en-US" w:eastAsia="zh-CN"/>
        </w:rPr>
        <w:t>莘县永安气瓶检测技术有限公司钢瓶检测项目</w:t>
      </w:r>
    </w:p>
    <w:p>
      <w:pPr>
        <w:tabs>
          <w:tab w:val="left" w:pos="220"/>
        </w:tabs>
        <w:spacing w:line="360" w:lineRule="auto"/>
        <w:ind w:left="218" w:leftChars="104" w:firstLine="0" w:firstLineChars="0"/>
        <w:jc w:val="center"/>
        <w:rPr>
          <w:rFonts w:hint="default" w:cs="Times New Roman"/>
          <w:b/>
          <w:color w:val="auto"/>
          <w:sz w:val="32"/>
          <w:szCs w:val="32"/>
          <w:lang w:val="en-US" w:eastAsia="zh-CN"/>
        </w:rPr>
      </w:pPr>
      <w:r>
        <w:rPr>
          <w:rFonts w:hint="default" w:cs="Times New Roman"/>
          <w:b/>
          <w:color w:val="auto"/>
          <w:sz w:val="32"/>
          <w:szCs w:val="32"/>
          <w:lang w:val="en-US" w:eastAsia="zh-CN"/>
        </w:rPr>
        <w:t>竣工环境保护验收现场检查及验收工作组验收意见</w:t>
      </w:r>
    </w:p>
    <w:p>
      <w:pPr>
        <w:tabs>
          <w:tab w:val="left" w:pos="220"/>
        </w:tabs>
        <w:spacing w:line="240" w:lineRule="auto"/>
        <w:ind w:left="233" w:leftChars="111" w:firstLine="518" w:firstLineChars="216"/>
        <w:jc w:val="left"/>
        <w:rPr>
          <w:rFonts w:hint="default" w:ascii="Times New Roman" w:hAnsi="Times New Roman" w:eastAsia="宋体" w:cs="Times New Roman"/>
          <w:color w:val="auto"/>
          <w:sz w:val="24"/>
          <w:szCs w:val="24"/>
          <w:highlight w:val="none"/>
        </w:rPr>
      </w:pP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highlight w:val="none"/>
          <w:lang w:eastAsia="zh-CN"/>
        </w:rPr>
        <w:t>2022年7月16日，莘县永安气瓶检测技术有限公司组织召开莘县永安气瓶检测技术有限公司钢瓶检测项目竣工环境保护验收现场检查及验收及验收会。验收工作组由工程建设单位（莘县永安气瓶检测技术有限公司）、检测单位（山东聊和环保科技有限公司）、验收报告编制单位（山东绿和环保咨询有限公司）并特邀2名技术专家（名单附后）组成</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验收组现场查阅并核实了本项目运营期环保工作落实情况，根据项目竣工环境保护验收监测报告并对照《建设项目环境保护管理条例》、《建设项目竣工环境保护验收暂行办法》，严格依照国家有关法律法规、建设项目竣工环境保护验收技术规范、本项目环境影响评价报告表和审批部门审批决定等要求对本项目进行验收，经认真研究讨论形成环保验收意见，提出意见如下：</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一、工程建设基本情况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（一）建设地点、规模、主要建设内容</w:t>
      </w:r>
    </w:p>
    <w:p>
      <w:pPr>
        <w:pStyle w:val="3"/>
        <w:numPr>
          <w:ilvl w:val="0"/>
          <w:numId w:val="0"/>
        </w:numPr>
        <w:spacing w:line="360" w:lineRule="auto"/>
        <w:ind w:left="233" w:leftChars="111" w:firstLine="518" w:firstLineChars="216"/>
        <w:rPr>
          <w:rFonts w:hint="default" w:ascii="Times New Roman" w:hAnsi="Times New Roman" w:eastAsia="宋体" w:cs="Times New Roman"/>
          <w:color w:val="auto"/>
          <w:sz w:val="24"/>
          <w:szCs w:val="24"/>
          <w:lang w:val="en-US" w:eastAsia="zh-CN"/>
        </w:rPr>
      </w:pPr>
      <w:r>
        <w:rPr>
          <w:rFonts w:hint="eastAsia" w:cs="Times New Roman"/>
          <w:color w:val="auto"/>
          <w:sz w:val="24"/>
          <w:szCs w:val="24"/>
          <w:lang w:eastAsia="zh-CN"/>
        </w:rPr>
        <w:t>莘县永安气瓶检测技术有限公司位于山东省聊城市莘县莘亭街道办事处创业街11号。项目总投资120万元，租赁生产车间建设钢瓶检测项目，占地面积1877.6m</w:t>
      </w:r>
      <w:r>
        <w:rPr>
          <w:rFonts w:hint="eastAsia" w:cs="Times New Roman"/>
          <w:color w:val="auto"/>
          <w:sz w:val="24"/>
          <w:szCs w:val="24"/>
          <w:vertAlign w:val="superscript"/>
          <w:lang w:eastAsia="zh-CN"/>
        </w:rPr>
        <w:t>2</w:t>
      </w:r>
      <w:r>
        <w:rPr>
          <w:rFonts w:hint="eastAsia" w:cs="Times New Roman"/>
          <w:color w:val="auto"/>
          <w:sz w:val="24"/>
          <w:szCs w:val="24"/>
          <w:lang w:eastAsia="zh-CN"/>
        </w:rPr>
        <w:t>，年检测家用液化气钢瓶10000只，车用天然气钢瓶1000只</w:t>
      </w:r>
      <w:r>
        <w:rPr>
          <w:rFonts w:hint="default" w:ascii="Times New Roman" w:hAnsi="Times New Roman" w:eastAsia="宋体" w:cs="Times New Roman"/>
          <w:color w:val="auto"/>
          <w:sz w:val="24"/>
          <w:szCs w:val="24"/>
          <w:lang w:eastAsia="zh-CN"/>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（二）环保审批情况</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次验收为新建项目。2019年7月莘县永安气瓶检测技术有限公司委托山东蔚海蓝天环保科技服务有限公司编制了《莘县永安气瓶检测技术有限公司钢瓶检测项目环境影响报告表》，2019年10月28日莘县行政审批服务局以莘行审报告表〔2019〕38号对其进行了审批。项目于2019年10月开工建设，2019年12月竣工投产。2020年3月，莘县永安气瓶检测技术有限公司委托山东合创环保科技有限公司进行了本项目环保验收监测工作。</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2021年12月，莘县永安气瓶检测技术有限公司进行了转让，法人进行了变更。因原已验收设备较为简陋，废气收集效率低下，本着提高废气收集效率、降低人工操作的原则，莘县永安气瓶检测技术有限公司决定对原有设备进行淘汰，更换为较为先进、环保的设备，且主要生产设备未新增数量，更新设备后不新增原辅料用量，即不新增产能。</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 xml:space="preserve">为保证设备更换后污染物仍可达标排放，莘县永安气瓶检测技术有限公司决定再次组织竣工环保验收监测工作。 </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2022年3月公司委托山东绿和环保咨询有限公司进行本项目的环保验收工作，山东绿和环保咨询有限公司组织有关技术人员进行现场踏勘，依据监测技术规范制定了环保验收监测方案，并委托山东聊和环保科技有限公司于2022年07月04日-05日对该企业进行了项目检测，根据验收监测结果和现场检查情况，山东绿和环保咨询有限公司编制了本项目验收监测报告。</w:t>
      </w:r>
    </w:p>
    <w:p>
      <w:pPr>
        <w:tabs>
          <w:tab w:val="left" w:pos="220"/>
        </w:tabs>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（三）投资情况</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项目实际总投资</w:t>
      </w:r>
      <w:r>
        <w:rPr>
          <w:rFonts w:hint="eastAsia" w:cs="Times New Roman"/>
          <w:color w:val="auto"/>
          <w:sz w:val="24"/>
          <w:szCs w:val="24"/>
          <w:lang w:val="en-US" w:eastAsia="zh-CN"/>
        </w:rPr>
        <w:t>120</w:t>
      </w:r>
      <w:r>
        <w:rPr>
          <w:rFonts w:hint="default" w:ascii="Times New Roman" w:hAnsi="Times New Roman" w:eastAsia="宋体" w:cs="Times New Roman"/>
          <w:color w:val="auto"/>
          <w:sz w:val="24"/>
          <w:szCs w:val="24"/>
          <w:lang w:val="en-US" w:eastAsia="zh-CN"/>
        </w:rPr>
        <w:t>万</w:t>
      </w:r>
      <w:r>
        <w:rPr>
          <w:rFonts w:hint="default" w:ascii="Times New Roman" w:hAnsi="Times New Roman" w:eastAsia="宋体" w:cs="Times New Roman"/>
          <w:color w:val="auto"/>
          <w:sz w:val="24"/>
          <w:szCs w:val="24"/>
        </w:rPr>
        <w:t>元，其中环保投资</w:t>
      </w:r>
      <w:r>
        <w:rPr>
          <w:rFonts w:hint="eastAsia" w:cs="Times New Roman"/>
          <w:color w:val="auto"/>
          <w:sz w:val="24"/>
          <w:szCs w:val="24"/>
          <w:lang w:val="en-US" w:eastAsia="zh-CN"/>
        </w:rPr>
        <w:t>20</w:t>
      </w:r>
      <w:r>
        <w:rPr>
          <w:rFonts w:hint="default" w:ascii="Times New Roman" w:hAnsi="Times New Roman" w:eastAsia="宋体" w:cs="Times New Roman"/>
          <w:color w:val="auto"/>
          <w:sz w:val="24"/>
          <w:szCs w:val="24"/>
        </w:rPr>
        <w:t>万元</w:t>
      </w:r>
      <w:r>
        <w:rPr>
          <w:rFonts w:hint="eastAsia" w:cs="Times New Roman"/>
          <w:color w:val="auto"/>
          <w:sz w:val="24"/>
          <w:szCs w:val="24"/>
          <w:lang w:eastAsia="zh-CN"/>
        </w:rPr>
        <w:t>，</w:t>
      </w:r>
      <w:r>
        <w:rPr>
          <w:rFonts w:hint="default" w:ascii="Times New Roman" w:hAnsi="Times New Roman" w:eastAsia="宋体" w:cs="Times New Roman"/>
          <w:color w:val="auto"/>
          <w:sz w:val="24"/>
          <w:szCs w:val="24"/>
        </w:rPr>
        <w:t>占总投资</w:t>
      </w:r>
      <w:r>
        <w:rPr>
          <w:rFonts w:hint="eastAsia" w:cs="Times New Roman"/>
          <w:color w:val="auto"/>
          <w:sz w:val="24"/>
          <w:szCs w:val="24"/>
          <w:lang w:val="en-US" w:eastAsia="zh-CN"/>
        </w:rPr>
        <w:t>16.7</w:t>
      </w:r>
      <w:r>
        <w:rPr>
          <w:rFonts w:hint="default" w:ascii="Times New Roman" w:hAnsi="Times New Roman" w:eastAsia="宋体" w:cs="Times New Roman"/>
          <w:color w:val="auto"/>
          <w:sz w:val="24"/>
          <w:szCs w:val="24"/>
        </w:rPr>
        <w:t>％。</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（四）验收范围</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本次验收的范围为</w:t>
      </w:r>
      <w:r>
        <w:rPr>
          <w:rFonts w:hint="eastAsia" w:cs="Times New Roman"/>
          <w:color w:val="auto"/>
          <w:sz w:val="24"/>
          <w:szCs w:val="24"/>
          <w:lang w:val="en-US" w:eastAsia="zh-CN"/>
        </w:rPr>
        <w:t>年检测家用液化气钢瓶10000只，车用天然气钢瓶1000只</w:t>
      </w:r>
      <w:r>
        <w:rPr>
          <w:rFonts w:hint="default" w:ascii="Times New Roman" w:hAnsi="Times New Roman" w:eastAsia="宋体" w:cs="Times New Roman"/>
          <w:color w:val="auto"/>
          <w:sz w:val="24"/>
          <w:szCs w:val="24"/>
          <w:lang w:val="en-US" w:eastAsia="zh-CN"/>
        </w:rPr>
        <w:t>生产设备</w:t>
      </w:r>
      <w:r>
        <w:rPr>
          <w:rFonts w:hint="default" w:ascii="Times New Roman" w:hAnsi="Times New Roman" w:eastAsia="宋体" w:cs="Times New Roman"/>
          <w:color w:val="auto"/>
          <w:sz w:val="24"/>
          <w:szCs w:val="24"/>
        </w:rPr>
        <w:t>及其配套环保设施。</w:t>
      </w:r>
    </w:p>
    <w:p>
      <w:pPr>
        <w:tabs>
          <w:tab w:val="left" w:pos="220"/>
        </w:tabs>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二、工程变更情况</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通过现场调查，对照环评报告及审批意见，本项目环评设计焚烧废气处理设施为“低氮燃烧器处理”，实际建设优化为“焚烧废气处理设施+水喷淋设施”；较环评批复新识别危险废物：废机油、废液压油，产生后暂存于危废暂存间，委托有资质的单位进行处理。根据《关于印发污染影响类建设项目重大变动清单（试行）的通知》环办环评函〔2020〕688号，本项目性质、规模、地点、生产工艺以及环境保护措施均不涉及重大变动。</w:t>
      </w:r>
      <w:bookmarkStart w:id="0" w:name="_GoBack"/>
      <w:bookmarkEnd w:id="0"/>
    </w:p>
    <w:p>
      <w:pPr>
        <w:pStyle w:val="13"/>
        <w:numPr>
          <w:ilvl w:val="0"/>
          <w:numId w:val="1"/>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环境保护设施落实情况</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（一）废水污染源及其治理措施</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本项目废水主要为生活污水，经过新型环保型厕所处理后由环卫部门定期清运。</w:t>
      </w:r>
    </w:p>
    <w:p>
      <w:pPr>
        <w:widowControl/>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kern w:val="2"/>
          <w:sz w:val="24"/>
          <w:szCs w:val="24"/>
          <w:lang w:val="en-US" w:eastAsia="zh-CN" w:bidi="ar-SA"/>
        </w:rPr>
        <w:t>（二）废气污染源及其治理措施</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本项目废气主要为抛丸、喷粉工序产生的粉尘，固化工序产生的有机废气，焚烧工序产生的焚烧烟气。</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抛丸、喷粉工序产生的粉尘经各自自带除尘设施收集处理后通入“布袋除尘器”处理，经15米高排气筒P1排放；固化工序产生的有机废气通入“光催化氧化+活性炭吸附装置”处理，经15m高排气筒P2排放；焚烧烟气通入“焚烧废气处理设施+水喷淋设施”处理，经15m高排气筒P3排放。未收集到的废气经加强车间通风后以无组织形式排放。</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napToGrid w:val="0"/>
          <w:color w:val="auto"/>
          <w:kern w:val="0"/>
          <w:sz w:val="24"/>
          <w:szCs w:val="24"/>
          <w:lang w:val="en-US" w:eastAsia="zh-CN"/>
        </w:rPr>
        <w:t>（三）噪声</w:t>
      </w:r>
    </w:p>
    <w:p>
      <w:p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rPr>
      </w:pPr>
      <w:r>
        <w:rPr>
          <w:rFonts w:hint="default" w:ascii="Times New Roman" w:hAnsi="Times New Roman" w:eastAsia="宋体" w:cs="Times New Roman"/>
          <w:sz w:val="24"/>
          <w:szCs w:val="24"/>
          <w:highlight w:val="none"/>
          <w:lang w:val="en-US" w:eastAsia="zh-CN"/>
        </w:rPr>
        <w:t>本项目主要噪声源设备为生产设备运行时产生的机械噪声。通过基础减振、距离衰减等综合控制等措施，降低对外环境的影响</w:t>
      </w:r>
      <w:r>
        <w:rPr>
          <w:rFonts w:hint="default" w:ascii="Times New Roman" w:hAnsi="Times New Roman" w:eastAsia="宋体" w:cs="Times New Roman"/>
          <w:snapToGrid w:val="0"/>
          <w:color w:val="auto"/>
          <w:kern w:val="0"/>
          <w:sz w:val="24"/>
          <w:szCs w:val="24"/>
          <w:lang w:val="en-US" w:eastAsia="zh-CN"/>
        </w:rPr>
        <w:t xml:space="preserve">。 </w:t>
      </w:r>
    </w:p>
    <w:p>
      <w:pPr>
        <w:spacing w:line="360" w:lineRule="auto"/>
        <w:ind w:left="233" w:leftChars="111" w:firstLine="518" w:firstLineChars="216"/>
        <w:jc w:val="left"/>
        <w:rPr>
          <w:rFonts w:hint="default" w:ascii="Times New Roman" w:hAnsi="Times New Roman" w:eastAsia="宋体" w:cs="Times New Roman"/>
          <w:color w:val="auto"/>
          <w:sz w:val="24"/>
          <w:szCs w:val="24"/>
          <w:lang w:eastAsia="zh-CN"/>
        </w:rPr>
      </w:pPr>
      <w:r>
        <w:rPr>
          <w:rFonts w:hint="default" w:ascii="Times New Roman" w:hAnsi="Times New Roman" w:eastAsia="宋体" w:cs="Times New Roman"/>
          <w:color w:val="auto"/>
          <w:sz w:val="24"/>
          <w:szCs w:val="24"/>
        </w:rPr>
        <w:t>（四）固体废物</w:t>
      </w:r>
    </w:p>
    <w:p>
      <w:pPr>
        <w:pStyle w:val="13"/>
        <w:numPr>
          <w:ilvl w:val="0"/>
          <w:numId w:val="0"/>
        </w:numPr>
        <w:spacing w:line="360" w:lineRule="auto"/>
        <w:ind w:left="233" w:leftChars="111" w:firstLine="518" w:firstLineChars="216"/>
        <w:jc w:val="left"/>
        <w:rPr>
          <w:rFonts w:hint="eastAsia"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本项目固废主要为废钢瓶、除尘器收集粉尘、液化石油气残液、废UV灯管、废活性炭、废机油、废液压油以及职工生活垃圾等。</w:t>
      </w:r>
    </w:p>
    <w:p>
      <w:pPr>
        <w:pStyle w:val="13"/>
        <w:numPr>
          <w:ilvl w:val="0"/>
          <w:numId w:val="0"/>
        </w:numPr>
        <w:spacing w:line="360" w:lineRule="auto"/>
        <w:ind w:left="233" w:leftChars="111" w:firstLine="518" w:firstLineChars="216"/>
        <w:jc w:val="left"/>
        <w:rPr>
          <w:rFonts w:hint="default" w:ascii="Times New Roman" w:hAnsi="Times New Roman" w:eastAsia="宋体" w:cs="Times New Roman"/>
          <w:snapToGrid w:val="0"/>
          <w:color w:val="auto"/>
          <w:kern w:val="0"/>
          <w:sz w:val="24"/>
          <w:szCs w:val="24"/>
          <w:lang w:val="en-US" w:eastAsia="zh-CN" w:bidi="ar-SA"/>
        </w:rPr>
      </w:pPr>
      <w:r>
        <w:rPr>
          <w:rFonts w:hint="eastAsia" w:cs="Times New Roman"/>
          <w:snapToGrid w:val="0"/>
          <w:color w:val="auto"/>
          <w:kern w:val="0"/>
          <w:sz w:val="24"/>
          <w:szCs w:val="24"/>
          <w:lang w:val="en-US" w:eastAsia="zh-CN" w:bidi="ar-SA"/>
        </w:rPr>
        <w:t>废钢瓶收集后退回送检单位；除尘器收集粉尘统一外售；生活垃圾收集后委托环卫部门统一清运、处理。废机油、废液压油、液化石油气残液、废UV灯管、废活性炭属于危险废物，产生后暂存于危废暂存间，委托有资质的单位进行处理。</w:t>
      </w:r>
      <w:r>
        <w:rPr>
          <w:rFonts w:hint="default" w:ascii="Times New Roman" w:hAnsi="Times New Roman" w:eastAsia="宋体" w:cs="Times New Roman"/>
          <w:snapToGrid w:val="0"/>
          <w:color w:val="auto"/>
          <w:kern w:val="0"/>
          <w:sz w:val="24"/>
          <w:szCs w:val="24"/>
          <w:lang w:val="en-US" w:eastAsia="zh-CN" w:bidi="ar-SA"/>
        </w:rPr>
        <w:br w:type="textWrapping"/>
      </w:r>
      <w:r>
        <w:rPr>
          <w:rFonts w:hint="eastAsia" w:cs="Times New Roman"/>
          <w:snapToGrid w:val="0"/>
          <w:color w:val="auto"/>
          <w:kern w:val="0"/>
          <w:sz w:val="24"/>
          <w:szCs w:val="24"/>
          <w:lang w:val="en-US" w:eastAsia="zh-CN" w:bidi="ar-SA"/>
        </w:rPr>
        <w:t xml:space="preserve">    </w:t>
      </w:r>
      <w:r>
        <w:rPr>
          <w:rFonts w:hint="default" w:ascii="Times New Roman" w:hAnsi="Times New Roman" w:eastAsia="宋体" w:cs="Times New Roman"/>
          <w:snapToGrid w:val="0"/>
          <w:color w:val="auto"/>
          <w:kern w:val="0"/>
          <w:sz w:val="24"/>
          <w:szCs w:val="24"/>
          <w:lang w:val="en-US" w:eastAsia="zh-CN" w:bidi="ar-SA"/>
        </w:rPr>
        <w:t>四、验收监测结果</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（一）环保设施运行检测结果</w:t>
      </w:r>
    </w:p>
    <w:p>
      <w:pPr>
        <w:widowControl/>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eastAsia" w:cs="Times New Roman"/>
          <w:color w:val="auto"/>
          <w:sz w:val="24"/>
          <w:szCs w:val="24"/>
          <w:lang w:eastAsia="zh-CN"/>
        </w:rPr>
        <w:t>山东绿和环保咨询有限公司</w:t>
      </w:r>
      <w:r>
        <w:rPr>
          <w:rFonts w:hint="default" w:ascii="Times New Roman" w:hAnsi="Times New Roman" w:eastAsia="宋体" w:cs="Times New Roman"/>
          <w:color w:val="auto"/>
          <w:sz w:val="24"/>
          <w:szCs w:val="24"/>
        </w:rPr>
        <w:t>出具的</w:t>
      </w:r>
      <w:r>
        <w:rPr>
          <w:rFonts w:hint="default" w:ascii="Times New Roman" w:hAnsi="Times New Roman" w:eastAsia="宋体" w:cs="Times New Roman"/>
          <w:b w:val="0"/>
          <w:bCs w:val="0"/>
          <w:color w:val="auto"/>
          <w:sz w:val="24"/>
          <w:szCs w:val="24"/>
        </w:rPr>
        <w:t>《</w:t>
      </w:r>
      <w:r>
        <w:rPr>
          <w:rFonts w:hint="eastAsia" w:cs="Times New Roman"/>
          <w:b w:val="0"/>
          <w:bCs w:val="0"/>
          <w:color w:val="auto"/>
          <w:sz w:val="24"/>
          <w:szCs w:val="24"/>
          <w:lang w:val="en-US" w:eastAsia="zh-CN"/>
        </w:rPr>
        <w:t>莘县永安气瓶检测技术有限公司钢瓶检测项目</w:t>
      </w:r>
      <w:r>
        <w:rPr>
          <w:rFonts w:hint="default" w:ascii="Times New Roman" w:hAnsi="Times New Roman" w:eastAsia="宋体" w:cs="Times New Roman"/>
          <w:color w:val="auto"/>
          <w:sz w:val="24"/>
          <w:szCs w:val="24"/>
        </w:rPr>
        <w:t>竣工环境保护验收监测报告》监测结果表明：</w:t>
      </w:r>
    </w:p>
    <w:p>
      <w:pPr>
        <w:numPr>
          <w:ilvl w:val="0"/>
          <w:numId w:val="2"/>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eastAsia="zh-CN"/>
        </w:rPr>
        <w:t>废水</w:t>
      </w:r>
    </w:p>
    <w:p>
      <w:pPr>
        <w:spacing w:line="360" w:lineRule="auto"/>
        <w:ind w:left="233" w:leftChars="111" w:firstLine="518" w:firstLineChars="216"/>
        <w:rPr>
          <w:rFonts w:hint="default" w:ascii="Times New Roman" w:hAnsi="Times New Roman" w:eastAsia="宋体" w:cs="Times New Roman"/>
          <w:b w:val="0"/>
          <w:bCs w:val="0"/>
          <w:color w:val="auto"/>
          <w:sz w:val="24"/>
          <w:szCs w:val="24"/>
          <w:lang w:val="en-US" w:eastAsia="zh-CN"/>
        </w:rPr>
      </w:pPr>
      <w:r>
        <w:rPr>
          <w:rFonts w:hint="eastAsia" w:cs="Times New Roman"/>
          <w:color w:val="auto"/>
          <w:sz w:val="24"/>
          <w:szCs w:val="24"/>
          <w:lang w:val="en-US" w:eastAsia="zh-CN"/>
        </w:rPr>
        <w:t>同上文三、（一）</w:t>
      </w:r>
      <w:r>
        <w:rPr>
          <w:rFonts w:hint="default" w:ascii="Times New Roman" w:hAnsi="Times New Roman" w:eastAsia="宋体" w:cs="Times New Roman"/>
          <w:color w:val="auto"/>
          <w:sz w:val="24"/>
          <w:szCs w:val="24"/>
          <w:lang w:val="en-US" w:eastAsia="zh-CN"/>
        </w:rPr>
        <w:t>。</w:t>
      </w:r>
    </w:p>
    <w:p>
      <w:pPr>
        <w:numPr>
          <w:ilvl w:val="0"/>
          <w:numId w:val="3"/>
        </w:num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废气</w:t>
      </w:r>
    </w:p>
    <w:p>
      <w:pPr>
        <w:spacing w:line="360" w:lineRule="auto"/>
        <w:ind w:left="233" w:leftChars="111" w:firstLine="518" w:firstLineChars="216"/>
        <w:rPr>
          <w:rFonts w:hint="default" w:ascii="Times New Roman" w:hAnsi="Times New Roman" w:eastAsia="宋体" w:cs="Times New Roman"/>
          <w:color w:val="auto"/>
          <w:kern w:val="2"/>
          <w:sz w:val="24"/>
          <w:szCs w:val="24"/>
          <w:lang w:val="en-US" w:eastAsia="zh-CN" w:bidi="ar-SA"/>
        </w:rPr>
      </w:pPr>
      <w:r>
        <w:rPr>
          <w:rFonts w:hint="default" w:ascii="Times New Roman" w:hAnsi="Times New Roman" w:eastAsia="宋体" w:cs="Times New Roman"/>
          <w:color w:val="auto"/>
          <w:sz w:val="24"/>
          <w:szCs w:val="24"/>
        </w:rPr>
        <w:t>验</w:t>
      </w:r>
      <w:r>
        <w:rPr>
          <w:rFonts w:hint="default" w:ascii="Times New Roman" w:hAnsi="Times New Roman" w:eastAsia="宋体" w:cs="Times New Roman"/>
          <w:bCs/>
          <w:color w:val="auto"/>
          <w:sz w:val="24"/>
          <w:szCs w:val="24"/>
        </w:rPr>
        <w:t>收监测期间，</w:t>
      </w:r>
      <w:r>
        <w:rPr>
          <w:rFonts w:hint="default" w:ascii="Times New Roman" w:hAnsi="Times New Roman" w:cs="Times New Roman"/>
          <w:bCs/>
          <w:color w:val="auto"/>
          <w:sz w:val="24"/>
          <w:szCs w:val="24"/>
          <w:lang w:eastAsia="zh-CN"/>
        </w:rPr>
        <w:t>有组织</w:t>
      </w:r>
      <w:r>
        <w:rPr>
          <w:rFonts w:hint="eastAsia" w:ascii="Times New Roman" w:hAnsi="Times New Roman" w:cs="Times New Roman"/>
          <w:bCs/>
          <w:color w:val="auto"/>
          <w:sz w:val="24"/>
          <w:szCs w:val="24"/>
          <w:lang w:eastAsia="zh-CN"/>
        </w:rPr>
        <w:t>颗粒物最高排放浓度为</w:t>
      </w:r>
      <w:r>
        <w:rPr>
          <w:rFonts w:hint="eastAsia" w:ascii="Times New Roman" w:hAnsi="Times New Roman" w:cs="Times New Roman"/>
          <w:bCs/>
          <w:color w:val="auto"/>
          <w:sz w:val="24"/>
          <w:szCs w:val="24"/>
          <w:lang w:val="en-US" w:eastAsia="zh-CN"/>
        </w:rPr>
        <w:t>2.7</w:t>
      </w:r>
      <w:r>
        <w:rPr>
          <w:rFonts w:hint="eastAsia" w:ascii="Times New Roman" w:hAnsi="Times New Roman" w:cs="Times New Roman"/>
          <w:bCs/>
          <w:color w:val="auto"/>
          <w:sz w:val="24"/>
          <w:szCs w:val="24"/>
          <w:lang w:eastAsia="zh-CN"/>
        </w:rPr>
        <w:t>mg/m</w:t>
      </w:r>
      <w:r>
        <w:rPr>
          <w:rFonts w:hint="eastAsia" w:ascii="Times New Roman" w:hAnsi="Times New Roman" w:cs="Times New Roman"/>
          <w:bCs/>
          <w:color w:val="auto"/>
          <w:sz w:val="24"/>
          <w:szCs w:val="24"/>
          <w:vertAlign w:val="superscript"/>
          <w:lang w:eastAsia="zh-CN"/>
        </w:rPr>
        <w:t>3</w:t>
      </w:r>
      <w:r>
        <w:rPr>
          <w:rFonts w:hint="eastAsia"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0.014</w:t>
      </w:r>
      <w:r>
        <w:rPr>
          <w:rFonts w:hint="eastAsia" w:ascii="Times New Roman" w:hAnsi="Times New Roman" w:cs="Times New Roman"/>
          <w:bCs/>
          <w:color w:val="auto"/>
          <w:sz w:val="24"/>
          <w:szCs w:val="24"/>
          <w:lang w:eastAsia="zh-CN"/>
        </w:rPr>
        <w:t>kg/h；二氧化硫未检出；氮氧化物最高排放浓度为</w:t>
      </w:r>
      <w:r>
        <w:rPr>
          <w:rFonts w:hint="eastAsia" w:ascii="Times New Roman" w:hAnsi="Times New Roman" w:cs="Times New Roman"/>
          <w:bCs/>
          <w:color w:val="auto"/>
          <w:sz w:val="24"/>
          <w:szCs w:val="24"/>
          <w:lang w:val="en-US" w:eastAsia="zh-CN"/>
        </w:rPr>
        <w:t>18</w:t>
      </w:r>
      <w:r>
        <w:rPr>
          <w:rFonts w:hint="eastAsia" w:ascii="Times New Roman" w:hAnsi="Times New Roman" w:cs="Times New Roman"/>
          <w:bCs/>
          <w:color w:val="auto"/>
          <w:sz w:val="24"/>
          <w:szCs w:val="24"/>
          <w:lang w:eastAsia="zh-CN"/>
        </w:rPr>
        <w:t>mg/m</w:t>
      </w:r>
      <w:r>
        <w:rPr>
          <w:rFonts w:hint="eastAsia" w:ascii="Times New Roman" w:hAnsi="Times New Roman" w:cs="Times New Roman"/>
          <w:bCs/>
          <w:color w:val="auto"/>
          <w:sz w:val="24"/>
          <w:szCs w:val="24"/>
          <w:vertAlign w:val="superscript"/>
          <w:lang w:eastAsia="zh-CN"/>
        </w:rPr>
        <w:t>3</w:t>
      </w:r>
      <w:r>
        <w:rPr>
          <w:rFonts w:hint="eastAsia"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0.088</w:t>
      </w:r>
      <w:r>
        <w:rPr>
          <w:rFonts w:hint="eastAsia" w:ascii="Times New Roman" w:hAnsi="Times New Roman" w:cs="Times New Roman"/>
          <w:bCs/>
          <w:color w:val="auto"/>
          <w:sz w:val="24"/>
          <w:szCs w:val="24"/>
          <w:lang w:eastAsia="zh-CN"/>
        </w:rPr>
        <w:t>kg/h，均满足《区域性大气污染物综合排放标准》（DB37/ 2376-2019）表1“重点控制区”及《大气污染物综合排放标准》（GB16297-1996）相关标准限值要求。有组织</w:t>
      </w:r>
      <w:r>
        <w:rPr>
          <w:rFonts w:hint="default" w:ascii="Times New Roman" w:hAnsi="Times New Roman" w:cs="Times New Roman"/>
          <w:bCs/>
          <w:color w:val="auto"/>
          <w:sz w:val="24"/>
          <w:szCs w:val="24"/>
          <w:lang w:eastAsia="zh-CN"/>
        </w:rPr>
        <w:t>苯</w:t>
      </w:r>
      <w:r>
        <w:rPr>
          <w:rFonts w:hint="eastAsia" w:ascii="Times New Roman" w:hAnsi="Times New Roman" w:cs="Times New Roman"/>
          <w:bCs/>
          <w:color w:val="auto"/>
          <w:sz w:val="24"/>
          <w:szCs w:val="24"/>
          <w:lang w:eastAsia="zh-CN"/>
        </w:rPr>
        <w:t>最高排放浓度为0.0</w:t>
      </w:r>
      <w:r>
        <w:rPr>
          <w:rFonts w:hint="eastAsia" w:ascii="Times New Roman" w:hAnsi="Times New Roman" w:cs="Times New Roman"/>
          <w:bCs/>
          <w:color w:val="auto"/>
          <w:sz w:val="24"/>
          <w:szCs w:val="24"/>
          <w:lang w:val="en-US" w:eastAsia="zh-CN"/>
        </w:rPr>
        <w:t>96</w:t>
      </w:r>
      <w:r>
        <w:rPr>
          <w:rFonts w:hint="eastAsia" w:ascii="Times New Roman" w:hAnsi="Times New Roman" w:cs="Times New Roman"/>
          <w:bCs/>
          <w:color w:val="auto"/>
          <w:sz w:val="24"/>
          <w:szCs w:val="24"/>
          <w:lang w:eastAsia="zh-CN"/>
        </w:rPr>
        <w:t>mg/m</w:t>
      </w:r>
      <w:r>
        <w:rPr>
          <w:rFonts w:hint="eastAsia" w:ascii="Times New Roman" w:hAnsi="Times New Roman" w:cs="Times New Roman"/>
          <w:bCs/>
          <w:color w:val="auto"/>
          <w:sz w:val="24"/>
          <w:szCs w:val="24"/>
          <w:vertAlign w:val="superscript"/>
          <w:lang w:eastAsia="zh-CN"/>
        </w:rPr>
        <w:t>3</w:t>
      </w:r>
      <w:r>
        <w:rPr>
          <w:rFonts w:hint="eastAsia"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4.7</w:t>
      </w:r>
      <w:r>
        <w:rPr>
          <w:rFonts w:hint="eastAsia" w:ascii="Times New Roman" w:hAnsi="Times New Roman" w:cs="Times New Roman"/>
          <w:bCs/>
          <w:color w:val="auto"/>
          <w:sz w:val="24"/>
          <w:szCs w:val="24"/>
          <w:lang w:eastAsia="zh-CN"/>
        </w:rPr>
        <w:t>×10</w:t>
      </w:r>
      <w:r>
        <w:rPr>
          <w:rFonts w:hint="eastAsia" w:ascii="Times New Roman" w:hAnsi="Times New Roman" w:cs="Times New Roman"/>
          <w:bCs/>
          <w:color w:val="auto"/>
          <w:sz w:val="24"/>
          <w:szCs w:val="24"/>
          <w:vertAlign w:val="superscript"/>
          <w:lang w:eastAsia="zh-CN"/>
        </w:rPr>
        <w:t>-</w:t>
      </w:r>
      <w:r>
        <w:rPr>
          <w:rFonts w:hint="eastAsia" w:ascii="Times New Roman" w:hAnsi="Times New Roman" w:cs="Times New Roman"/>
          <w:bCs/>
          <w:color w:val="auto"/>
          <w:sz w:val="24"/>
          <w:szCs w:val="24"/>
          <w:vertAlign w:val="superscript"/>
          <w:lang w:val="en-US" w:eastAsia="zh-CN"/>
        </w:rPr>
        <w:t>4</w:t>
      </w:r>
      <w:r>
        <w:rPr>
          <w:rFonts w:hint="eastAsia" w:ascii="Times New Roman" w:hAnsi="Times New Roman" w:cs="Times New Roman"/>
          <w:bCs/>
          <w:color w:val="auto"/>
          <w:sz w:val="24"/>
          <w:szCs w:val="24"/>
          <w:lang w:eastAsia="zh-CN"/>
        </w:rPr>
        <w:t>kg/h</w:t>
      </w:r>
      <w:r>
        <w:rPr>
          <w:rFonts w:hint="default" w:ascii="Times New Roman" w:hAnsi="Times New Roman" w:eastAsia="宋体" w:cs="Times New Roman"/>
          <w:bCs/>
          <w:color w:val="auto"/>
          <w:sz w:val="24"/>
          <w:szCs w:val="24"/>
          <w:lang w:eastAsia="zh-CN"/>
        </w:rPr>
        <w:t>；</w:t>
      </w:r>
      <w:r>
        <w:rPr>
          <w:rFonts w:hint="eastAsia" w:ascii="Times New Roman" w:hAnsi="Times New Roman" w:cs="Times New Roman"/>
          <w:bCs/>
          <w:color w:val="auto"/>
          <w:sz w:val="24"/>
          <w:szCs w:val="24"/>
          <w:lang w:eastAsia="zh-CN"/>
        </w:rPr>
        <w:t>甲苯</w:t>
      </w:r>
      <w:r>
        <w:rPr>
          <w:rFonts w:hint="default" w:ascii="Times New Roman" w:hAnsi="Times New Roman" w:cs="Times New Roman"/>
          <w:bCs/>
          <w:color w:val="auto"/>
          <w:sz w:val="24"/>
          <w:szCs w:val="24"/>
          <w:lang w:eastAsia="zh-CN"/>
        </w:rPr>
        <w:t>最高排放浓度为</w:t>
      </w:r>
      <w:r>
        <w:rPr>
          <w:rFonts w:hint="eastAsia" w:ascii="Times New Roman" w:hAnsi="Times New Roman" w:cs="Times New Roman"/>
          <w:bCs/>
          <w:color w:val="auto"/>
          <w:sz w:val="24"/>
          <w:szCs w:val="24"/>
          <w:lang w:val="en-US" w:eastAsia="zh-CN"/>
        </w:rPr>
        <w:t>0.869</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4.00</w:t>
      </w:r>
      <w:r>
        <w:rPr>
          <w:rFonts w:hint="default" w:ascii="Times New Roman" w:hAnsi="Times New Roman" w:cs="Times New Roman"/>
          <w:bCs/>
          <w:color w:val="auto"/>
          <w:sz w:val="24"/>
          <w:szCs w:val="24"/>
          <w:lang w:eastAsia="zh-CN"/>
        </w:rPr>
        <w:t>×10</w:t>
      </w:r>
      <w:r>
        <w:rPr>
          <w:rFonts w:hint="default" w:ascii="Times New Roman" w:hAnsi="Times New Roman" w:cs="Times New Roman"/>
          <w:bCs/>
          <w:color w:val="auto"/>
          <w:sz w:val="24"/>
          <w:szCs w:val="24"/>
          <w:vertAlign w:val="superscript"/>
          <w:lang w:eastAsia="zh-CN"/>
        </w:rPr>
        <w:t>-</w:t>
      </w:r>
      <w:r>
        <w:rPr>
          <w:rFonts w:hint="eastAsia" w:ascii="Times New Roman" w:hAnsi="Times New Roman"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w:t>
      </w:r>
      <w:r>
        <w:rPr>
          <w:rFonts w:hint="eastAsia" w:ascii="Times New Roman" w:hAnsi="Times New Roman" w:cs="Times New Roman"/>
          <w:bCs/>
          <w:color w:val="auto"/>
          <w:sz w:val="24"/>
          <w:szCs w:val="24"/>
          <w:lang w:eastAsia="zh-CN"/>
        </w:rPr>
        <w:t>二甲苯</w:t>
      </w:r>
      <w:r>
        <w:rPr>
          <w:rFonts w:hint="default" w:ascii="Times New Roman" w:hAnsi="Times New Roman" w:cs="Times New Roman"/>
          <w:bCs/>
          <w:color w:val="auto"/>
          <w:sz w:val="24"/>
          <w:szCs w:val="24"/>
          <w:lang w:eastAsia="zh-CN"/>
        </w:rPr>
        <w:t>最高排放浓度为0.</w:t>
      </w:r>
      <w:r>
        <w:rPr>
          <w:rFonts w:hint="eastAsia" w:ascii="Times New Roman" w:hAnsi="Times New Roman" w:cs="Times New Roman"/>
          <w:bCs/>
          <w:color w:val="auto"/>
          <w:sz w:val="24"/>
          <w:szCs w:val="24"/>
          <w:lang w:val="en-US" w:eastAsia="zh-CN"/>
        </w:rPr>
        <w:t>597</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2.32</w:t>
      </w:r>
      <w:r>
        <w:rPr>
          <w:rFonts w:hint="default" w:ascii="Times New Roman" w:hAnsi="Times New Roman" w:cs="Times New Roman"/>
          <w:bCs/>
          <w:color w:val="auto"/>
          <w:sz w:val="24"/>
          <w:szCs w:val="24"/>
          <w:lang w:eastAsia="zh-CN"/>
        </w:rPr>
        <w:t>×10</w:t>
      </w:r>
      <w:r>
        <w:rPr>
          <w:rFonts w:hint="default" w:ascii="Times New Roman" w:hAnsi="Times New Roman" w:cs="Times New Roman"/>
          <w:bCs/>
          <w:color w:val="auto"/>
          <w:sz w:val="24"/>
          <w:szCs w:val="24"/>
          <w:vertAlign w:val="superscript"/>
          <w:lang w:eastAsia="zh-CN"/>
        </w:rPr>
        <w:t>-</w:t>
      </w:r>
      <w:r>
        <w:rPr>
          <w:rFonts w:hint="eastAsia" w:ascii="Times New Roman" w:hAnsi="Times New Roman" w:cs="Times New Roman"/>
          <w:bCs/>
          <w:color w:val="auto"/>
          <w:sz w:val="24"/>
          <w:szCs w:val="24"/>
          <w:vertAlign w:val="superscript"/>
          <w:lang w:val="en-US" w:eastAsia="zh-CN"/>
        </w:rPr>
        <w:t>3</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w:t>
      </w:r>
      <w:r>
        <w:rPr>
          <w:rFonts w:hint="default" w:ascii="Times New Roman" w:hAnsi="Times New Roman" w:cs="Times New Roman"/>
          <w:bCs/>
          <w:color w:val="auto"/>
          <w:sz w:val="24"/>
          <w:szCs w:val="24"/>
          <w:lang w:val="en-US" w:eastAsia="zh-CN"/>
        </w:rPr>
        <w:t>VOCs最高排放浓度为</w:t>
      </w:r>
      <w:r>
        <w:rPr>
          <w:rFonts w:hint="eastAsia" w:ascii="Times New Roman" w:hAnsi="Times New Roman" w:cs="Times New Roman"/>
          <w:bCs/>
          <w:color w:val="auto"/>
          <w:sz w:val="24"/>
          <w:szCs w:val="24"/>
          <w:lang w:val="en-US" w:eastAsia="zh-CN"/>
        </w:rPr>
        <w:t>12.9</w:t>
      </w:r>
      <w:r>
        <w:rPr>
          <w:rFonts w:hint="default" w:ascii="Times New Roman" w:hAnsi="Times New Roman" w:eastAsia="宋体" w:cs="Times New Roman"/>
          <w:bCs/>
          <w:color w:val="auto"/>
          <w:sz w:val="24"/>
          <w:szCs w:val="24"/>
        </w:rPr>
        <w:t>mg/m</w:t>
      </w:r>
      <w:r>
        <w:rPr>
          <w:rFonts w:hint="default" w:ascii="Times New Roman" w:hAnsi="Times New Roman" w:eastAsia="宋体" w:cs="Times New Roman"/>
          <w:bCs/>
          <w:color w:val="auto"/>
          <w:sz w:val="24"/>
          <w:szCs w:val="24"/>
          <w:vertAlign w:val="superscript"/>
        </w:rPr>
        <w:t>3</w:t>
      </w:r>
      <w:r>
        <w:rPr>
          <w:rFonts w:hint="default" w:ascii="Times New Roman" w:hAnsi="Times New Roman" w:eastAsia="宋体" w:cs="Times New Roman"/>
          <w:bCs/>
          <w:color w:val="auto"/>
          <w:sz w:val="24"/>
          <w:szCs w:val="24"/>
        </w:rPr>
        <w:t>，</w:t>
      </w:r>
      <w:r>
        <w:rPr>
          <w:rFonts w:hint="default" w:ascii="Times New Roman" w:hAnsi="Times New Roman" w:cs="Times New Roman"/>
          <w:bCs/>
          <w:color w:val="auto"/>
          <w:sz w:val="24"/>
          <w:szCs w:val="24"/>
          <w:lang w:eastAsia="zh-CN"/>
        </w:rPr>
        <w:t>排放速率最高为</w:t>
      </w:r>
      <w:r>
        <w:rPr>
          <w:rFonts w:hint="eastAsia" w:ascii="Times New Roman" w:hAnsi="Times New Roman" w:cs="Times New Roman"/>
          <w:bCs/>
          <w:color w:val="auto"/>
          <w:sz w:val="24"/>
          <w:szCs w:val="24"/>
          <w:lang w:val="en-US" w:eastAsia="zh-CN"/>
        </w:rPr>
        <w:t>0.0275</w:t>
      </w:r>
      <w:r>
        <w:rPr>
          <w:rFonts w:hint="default" w:ascii="Times New Roman" w:hAnsi="Times New Roman" w:eastAsia="宋体" w:cs="Times New Roman"/>
          <w:bCs/>
          <w:color w:val="auto"/>
          <w:sz w:val="24"/>
          <w:szCs w:val="24"/>
        </w:rPr>
        <w:t>kg/h</w:t>
      </w:r>
      <w:r>
        <w:rPr>
          <w:rFonts w:hint="default" w:ascii="Times New Roman" w:hAnsi="Times New Roman" w:eastAsia="宋体" w:cs="Times New Roman"/>
          <w:bCs/>
          <w:color w:val="auto"/>
          <w:sz w:val="24"/>
          <w:szCs w:val="24"/>
          <w:lang w:eastAsia="zh-CN"/>
        </w:rPr>
        <w:t>，均满足</w:t>
      </w:r>
      <w:r>
        <w:rPr>
          <w:rFonts w:hint="eastAsia" w:ascii="Times New Roman" w:hAnsi="Times New Roman" w:cs="Times New Roman"/>
          <w:color w:val="auto"/>
          <w:sz w:val="24"/>
          <w:szCs w:val="24"/>
          <w:lang w:eastAsia="zh-CN"/>
        </w:rPr>
        <w:t>《挥发性有机物排放标准 第5部分：表面涂装行业》表2标准要求</w:t>
      </w:r>
      <w:r>
        <w:rPr>
          <w:rFonts w:hint="default" w:ascii="Times New Roman" w:hAnsi="Times New Roman" w:eastAsia="宋体" w:cs="Times New Roman"/>
          <w:color w:val="auto"/>
          <w:sz w:val="24"/>
          <w:szCs w:val="24"/>
          <w:lang w:eastAsia="zh-CN"/>
        </w:rPr>
        <w:t>。无组织苯、甲苯、二甲苯均未检出，VOCs小时浓度最高为0.44mg/m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，均满足《挥发性有机物排放标准 第5部分：表面涂装行业》表3厂界监控点浓度限值；无组织颗粒物小时浓度最高为0.263mg/m</w:t>
      </w:r>
      <w:r>
        <w:rPr>
          <w:rFonts w:hint="default" w:ascii="Times New Roman" w:hAnsi="Times New Roman" w:eastAsia="宋体" w:cs="Times New Roman"/>
          <w:color w:val="auto"/>
          <w:sz w:val="24"/>
          <w:szCs w:val="24"/>
          <w:vertAlign w:val="superscript"/>
          <w:lang w:eastAsia="zh-CN"/>
        </w:rPr>
        <w:t>3</w:t>
      </w:r>
      <w:r>
        <w:rPr>
          <w:rFonts w:hint="default" w:ascii="Times New Roman" w:hAnsi="Times New Roman" w:eastAsia="宋体" w:cs="Times New Roman"/>
          <w:color w:val="auto"/>
          <w:sz w:val="24"/>
          <w:szCs w:val="24"/>
          <w:lang w:eastAsia="zh-CN"/>
        </w:rPr>
        <w:t>，满足《大气污染物综合排放标准》（GB16297-1996）表2标准限值要求</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3</w:t>
      </w:r>
      <w:r>
        <w:rPr>
          <w:rFonts w:hint="default" w:ascii="Times New Roman" w:hAnsi="Times New Roman" w:eastAsia="宋体" w:cs="Times New Roman"/>
          <w:color w:val="auto"/>
          <w:sz w:val="24"/>
          <w:szCs w:val="24"/>
        </w:rPr>
        <w:t>. 噪声</w:t>
      </w:r>
    </w:p>
    <w:p>
      <w:pPr>
        <w:spacing w:line="360" w:lineRule="auto"/>
        <w:ind w:left="216" w:leftChars="103" w:firstLine="480" w:firstLineChars="200"/>
        <w:rPr>
          <w:rFonts w:hint="default" w:ascii="Times New Roman" w:hAnsi="Times New Roman" w:eastAsia="宋体" w:cs="Times New Roman"/>
          <w:color w:val="000000"/>
          <w:kern w:val="2"/>
          <w:sz w:val="24"/>
          <w:szCs w:val="24"/>
          <w:lang w:val="en-US" w:eastAsia="zh-CN" w:bidi="ar-SA"/>
        </w:rPr>
      </w:pPr>
      <w:r>
        <w:rPr>
          <w:rFonts w:hint="default" w:ascii="Times New Roman" w:hAnsi="Times New Roman" w:eastAsia="宋体" w:cs="Times New Roman"/>
          <w:color w:val="000000"/>
          <w:kern w:val="2"/>
          <w:sz w:val="24"/>
          <w:szCs w:val="24"/>
          <w:lang w:val="en-US" w:eastAsia="zh-CN" w:bidi="ar-SA"/>
        </w:rPr>
        <w:t>验收监测期间，监测点位昼间噪声在52.5-57.5(dB)之间，夜间不生产，符合《工业企业厂界环境噪声排放标准》（GB12348－2008）中的2类标准限值。</w:t>
      </w:r>
    </w:p>
    <w:p>
      <w:pPr>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br w:type="page"/>
      </w:r>
    </w:p>
    <w:p>
      <w:pPr>
        <w:numPr>
          <w:ilvl w:val="0"/>
          <w:numId w:val="4"/>
        </w:numPr>
        <w:spacing w:line="360" w:lineRule="auto"/>
        <w:ind w:left="233" w:leftChars="111" w:firstLine="518" w:firstLineChars="216"/>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固体废物</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val="en-US" w:eastAsia="zh-CN"/>
        </w:rPr>
        <w:t>同上文三、（四）</w:t>
      </w:r>
      <w:r>
        <w:rPr>
          <w:rFonts w:hint="default" w:ascii="Times New Roman" w:hAnsi="Times New Roman" w:eastAsia="宋体" w:cs="Times New Roman"/>
          <w:color w:val="auto"/>
          <w:sz w:val="24"/>
          <w:szCs w:val="24"/>
        </w:rPr>
        <w:t>。</w:t>
      </w:r>
    </w:p>
    <w:p>
      <w:pPr>
        <w:spacing w:line="360" w:lineRule="auto"/>
        <w:ind w:left="233" w:leftChars="111" w:firstLine="518" w:firstLineChars="216"/>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（二）环境管理调查</w:t>
      </w:r>
    </w:p>
    <w:p>
      <w:pPr>
        <w:spacing w:line="360" w:lineRule="auto"/>
        <w:ind w:left="233" w:leftChars="111" w:firstLine="518" w:firstLineChars="216"/>
        <w:rPr>
          <w:rFonts w:hint="default" w:ascii="Times New Roman" w:hAnsi="Times New Roman" w:eastAsia="宋体" w:cs="Times New Roman"/>
          <w:color w:val="auto"/>
          <w:sz w:val="24"/>
          <w:szCs w:val="24"/>
        </w:rPr>
      </w:pPr>
      <w:r>
        <w:rPr>
          <w:rFonts w:hint="eastAsia" w:cs="Times New Roman"/>
          <w:color w:val="auto"/>
          <w:sz w:val="24"/>
          <w:szCs w:val="24"/>
          <w:lang w:eastAsia="zh-CN"/>
        </w:rPr>
        <w:t>莘县永安气瓶检测技术有限公司</w:t>
      </w:r>
      <w:r>
        <w:rPr>
          <w:rFonts w:hint="default" w:ascii="Times New Roman" w:hAnsi="Times New Roman" w:eastAsia="宋体" w:cs="Times New Roman"/>
          <w:color w:val="auto"/>
          <w:sz w:val="24"/>
          <w:szCs w:val="24"/>
        </w:rPr>
        <w:t>制定了《</w:t>
      </w:r>
      <w:r>
        <w:rPr>
          <w:rFonts w:hint="eastAsia" w:cs="Times New Roman"/>
          <w:color w:val="auto"/>
          <w:sz w:val="24"/>
          <w:szCs w:val="24"/>
          <w:lang w:eastAsia="zh-CN"/>
        </w:rPr>
        <w:t>莘县永安气瓶检测技术有限公司</w:t>
      </w:r>
      <w:r>
        <w:rPr>
          <w:rFonts w:hint="default" w:ascii="Times New Roman" w:hAnsi="Times New Roman" w:eastAsia="宋体" w:cs="Times New Roman"/>
          <w:color w:val="auto"/>
          <w:sz w:val="24"/>
          <w:szCs w:val="24"/>
        </w:rPr>
        <w:t>环保管理制度》</w:t>
      </w:r>
      <w:r>
        <w:rPr>
          <w:rFonts w:hint="default" w:ascii="Times New Roman" w:hAnsi="Times New Roman" w:eastAsia="宋体" w:cs="Times New Roman"/>
          <w:color w:val="auto"/>
          <w:sz w:val="24"/>
          <w:szCs w:val="24"/>
          <w:lang w:eastAsia="zh-CN"/>
        </w:rPr>
        <w:t>，</w:t>
      </w:r>
      <w:r>
        <w:rPr>
          <w:rFonts w:hint="default" w:ascii="Times New Roman" w:hAnsi="Times New Roman" w:eastAsia="宋体" w:cs="Times New Roman"/>
          <w:color w:val="auto"/>
          <w:sz w:val="24"/>
          <w:szCs w:val="24"/>
        </w:rPr>
        <w:t>并设立了相关机构。日常工作由</w:t>
      </w:r>
      <w:r>
        <w:rPr>
          <w:rFonts w:hint="eastAsia" w:ascii="Times New Roman" w:hAnsi="Times New Roman" w:eastAsia="宋体" w:cs="Times New Roman"/>
          <w:color w:val="auto"/>
          <w:sz w:val="24"/>
          <w:szCs w:val="24"/>
          <w:lang w:eastAsia="zh-CN"/>
        </w:rPr>
        <w:t>办公室</w:t>
      </w:r>
      <w:r>
        <w:rPr>
          <w:rFonts w:hint="default" w:ascii="Times New Roman" w:hAnsi="Times New Roman" w:eastAsia="宋体" w:cs="Times New Roman"/>
          <w:color w:val="auto"/>
          <w:sz w:val="24"/>
          <w:szCs w:val="24"/>
        </w:rPr>
        <w:t>管理，其主要职责是：行使公司环保工作的计划、组织、指挥、协调、检查和考核管理职能，日常一切工作须对公司负责。</w:t>
      </w:r>
    </w:p>
    <w:p>
      <w:pPr>
        <w:spacing w:line="360" w:lineRule="auto"/>
        <w:ind w:left="233" w:leftChars="111" w:firstLine="518" w:firstLineChars="216"/>
        <w:jc w:val="left"/>
        <w:rPr>
          <w:rFonts w:hint="eastAsia"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rPr>
        <w:t>五、</w:t>
      </w:r>
      <w:r>
        <w:rPr>
          <w:rFonts w:hint="eastAsia" w:cs="Times New Roman"/>
          <w:color w:val="auto"/>
          <w:sz w:val="24"/>
          <w:szCs w:val="24"/>
          <w:lang w:eastAsia="zh-CN"/>
        </w:rPr>
        <w:t>专家意见</w:t>
      </w:r>
    </w:p>
    <w:p>
      <w:pPr>
        <w:spacing w:line="360" w:lineRule="auto"/>
        <w:ind w:left="233" w:leftChars="111" w:firstLine="518" w:firstLineChars="216"/>
        <w:jc w:val="left"/>
        <w:rPr>
          <w:rFonts w:hint="eastAsia" w:cs="Times New Roman"/>
          <w:color w:val="auto"/>
          <w:sz w:val="24"/>
          <w:szCs w:val="24"/>
          <w:lang w:val="en-US" w:eastAsia="zh-CN"/>
        </w:rPr>
      </w:pPr>
      <w:r>
        <w:rPr>
          <w:rFonts w:hint="eastAsia" w:cs="Times New Roman"/>
          <w:color w:val="auto"/>
          <w:sz w:val="24"/>
          <w:szCs w:val="24"/>
          <w:lang w:val="en-US" w:eastAsia="zh-CN"/>
        </w:rPr>
        <w:t>1、定期检查废气收集设施的运行情况，确保废气有效收集和处理。</w:t>
      </w:r>
    </w:p>
    <w:p>
      <w:pPr>
        <w:spacing w:line="360" w:lineRule="auto"/>
        <w:ind w:left="233" w:leftChars="111" w:firstLine="518" w:firstLineChars="216"/>
        <w:jc w:val="left"/>
        <w:rPr>
          <w:rFonts w:hint="default" w:ascii="Times New Roman" w:hAnsi="Times New Roman" w:eastAsia="宋体" w:cs="Times New Roman"/>
          <w:color w:val="auto"/>
          <w:kern w:val="2"/>
          <w:sz w:val="24"/>
          <w:szCs w:val="24"/>
          <w:lang w:val="en-US" w:eastAsia="zh-CN" w:bidi="ar-SA"/>
        </w:rPr>
      </w:pPr>
      <w:r>
        <w:rPr>
          <w:rFonts w:hint="eastAsia" w:cs="Times New Roman"/>
          <w:color w:val="auto"/>
          <w:sz w:val="24"/>
          <w:szCs w:val="24"/>
          <w:lang w:val="en-US" w:eastAsia="zh-CN"/>
        </w:rPr>
        <w:t>2、进一步规范危废暂存间，危废分类存放，完善管理制度和管理台账。严格按照《危险废物贮存污染控制标准》（GB18597-2001）及修改单要求，对产生的危险废物进行贮存和管理，并委托有资质的单位及时进行转移处置</w:t>
      </w:r>
      <w:r>
        <w:rPr>
          <w:rFonts w:hint="default" w:ascii="Times New Roman" w:hAnsi="Times New Roman" w:eastAsia="宋体" w:cs="Times New Roman"/>
          <w:color w:val="auto"/>
          <w:kern w:val="2"/>
          <w:sz w:val="24"/>
          <w:szCs w:val="24"/>
          <w:lang w:val="en-US" w:eastAsia="zh-CN" w:bidi="ar-SA"/>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eastAsia" w:cs="Times New Roman"/>
          <w:color w:val="auto"/>
          <w:kern w:val="2"/>
          <w:sz w:val="24"/>
          <w:szCs w:val="24"/>
          <w:lang w:val="en-US" w:eastAsia="zh-CN" w:bidi="ar-SA"/>
        </w:rPr>
        <w:t>3</w:t>
      </w:r>
      <w:r>
        <w:rPr>
          <w:rFonts w:hint="eastAsia" w:ascii="Times New Roman" w:hAnsi="Times New Roman" w:eastAsia="宋体" w:cs="Times New Roman"/>
          <w:color w:val="auto"/>
          <w:kern w:val="2"/>
          <w:sz w:val="24"/>
          <w:szCs w:val="24"/>
          <w:lang w:val="en-US" w:eastAsia="zh-CN" w:bidi="ar-SA"/>
        </w:rPr>
        <w:t>、</w:t>
      </w:r>
      <w:r>
        <w:rPr>
          <w:rFonts w:hint="default" w:ascii="Times New Roman" w:hAnsi="Times New Roman" w:eastAsia="宋体" w:cs="Times New Roman"/>
          <w:color w:val="auto"/>
          <w:kern w:val="2"/>
          <w:sz w:val="24"/>
          <w:szCs w:val="24"/>
          <w:lang w:val="en-US" w:eastAsia="zh-CN" w:bidi="ar-SA"/>
        </w:rPr>
        <w:t>落实自行监测计划，定期开展废气、噪声自行监测</w:t>
      </w:r>
      <w:r>
        <w:rPr>
          <w:rFonts w:hint="default" w:ascii="Times New Roman" w:hAnsi="Times New Roman" w:eastAsia="宋体" w:cs="Times New Roman"/>
          <w:color w:val="auto"/>
          <w:sz w:val="24"/>
          <w:szCs w:val="24"/>
          <w:lang w:val="en-US" w:eastAsia="zh-CN"/>
        </w:rPr>
        <w:t>。</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六、验收结论</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验收组一致认为该项目实施过程中按照环评及其批复要求落实了相关环保措施，环保手续齐全，建立了相应的环保管理制度，项目建设过程无重大变更。按环境影响报告表及审批要求建设了环境保护设施。验收监测各项指标满足国家相关排放标准。</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鉴于项目符合国家和地方相关产业标准及准入要求，用地符合当地规划，环保设施与生产配套，验收期间各项监测指标满足国家相关排放标准，该项目通过环保验收。</w:t>
      </w:r>
    </w:p>
    <w:p>
      <w:pPr>
        <w:spacing w:line="360" w:lineRule="auto"/>
        <w:ind w:left="233" w:leftChars="111" w:firstLine="518" w:firstLineChars="216"/>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七、验收人员信息见附件</w:t>
      </w:r>
    </w:p>
    <w:p>
      <w:pPr>
        <w:pStyle w:val="2"/>
        <w:rPr>
          <w:rFonts w:hint="default" w:ascii="Times New Roman" w:hAnsi="Times New Roman" w:eastAsia="宋体" w:cs="Times New Roman"/>
          <w:color w:val="auto"/>
          <w:sz w:val="24"/>
          <w:szCs w:val="24"/>
          <w:lang w:val="en-US" w:eastAsia="zh-CN"/>
        </w:rPr>
      </w:pPr>
    </w:p>
    <w:p>
      <w:pPr>
        <w:pStyle w:val="2"/>
        <w:rPr>
          <w:rFonts w:hint="default" w:ascii="Times New Roman" w:hAnsi="Times New Roman" w:eastAsia="宋体" w:cs="Times New Roman"/>
          <w:color w:val="auto"/>
          <w:sz w:val="24"/>
          <w:szCs w:val="24"/>
          <w:lang w:val="en-US" w:eastAsia="zh-CN"/>
        </w:rPr>
      </w:pPr>
    </w:p>
    <w:p>
      <w:pPr>
        <w:bidi w:val="0"/>
        <w:rPr>
          <w:rFonts w:hint="default"/>
        </w:rPr>
      </w:pPr>
    </w:p>
    <w:p>
      <w:pPr>
        <w:spacing w:line="360" w:lineRule="auto"/>
        <w:ind w:left="233" w:leftChars="111" w:firstLine="520" w:firstLineChars="216"/>
        <w:jc w:val="right"/>
        <w:rPr>
          <w:rFonts w:hint="eastAsia" w:cs="Times New Roman"/>
          <w:b/>
          <w:bCs/>
          <w:color w:val="auto"/>
          <w:sz w:val="24"/>
          <w:szCs w:val="24"/>
          <w:lang w:eastAsia="zh-CN"/>
        </w:rPr>
      </w:pPr>
      <w:r>
        <w:rPr>
          <w:rFonts w:hint="eastAsia" w:cs="Times New Roman"/>
          <w:b/>
          <w:bCs/>
          <w:color w:val="auto"/>
          <w:sz w:val="24"/>
          <w:szCs w:val="24"/>
          <w:lang w:eastAsia="zh-CN"/>
        </w:rPr>
        <w:t>莘县永安气瓶检测技术有限公司</w:t>
      </w:r>
    </w:p>
    <w:p>
      <w:pPr>
        <w:spacing w:line="360" w:lineRule="auto"/>
        <w:ind w:left="233" w:leftChars="111" w:firstLine="520" w:firstLineChars="216"/>
        <w:jc w:val="right"/>
        <w:rPr>
          <w:rFonts w:hint="eastAsia" w:ascii="Times New Roman" w:hAnsi="Times New Roman" w:eastAsia="宋体" w:cs="Times New Roman"/>
          <w:b/>
          <w:bCs/>
          <w:color w:val="auto"/>
          <w:sz w:val="24"/>
          <w:szCs w:val="24"/>
          <w:highlight w:val="none"/>
          <w:lang w:eastAsia="zh-CN"/>
        </w:rPr>
      </w:pPr>
      <w:r>
        <w:rPr>
          <w:rFonts w:hint="default" w:ascii="Times New Roman" w:hAnsi="Times New Roman" w:eastAsia="宋体" w:cs="Times New Roman"/>
          <w:b/>
          <w:bCs/>
          <w:color w:val="auto"/>
          <w:sz w:val="24"/>
          <w:szCs w:val="24"/>
        </w:rPr>
        <w:t xml:space="preserve">          </w:t>
      </w:r>
      <w:r>
        <w:rPr>
          <w:rFonts w:hint="default" w:ascii="Times New Roman" w:hAnsi="Times New Roman" w:eastAsia="宋体" w:cs="Times New Roman"/>
          <w:b/>
          <w:bCs/>
          <w:color w:val="auto"/>
          <w:sz w:val="24"/>
          <w:szCs w:val="24"/>
          <w:highlight w:val="none"/>
        </w:rPr>
        <w:t xml:space="preserve">                      </w:t>
      </w:r>
      <w:r>
        <w:rPr>
          <w:rFonts w:hint="eastAsia" w:cs="Times New Roman"/>
          <w:b/>
          <w:bCs/>
          <w:color w:val="auto"/>
          <w:sz w:val="24"/>
          <w:szCs w:val="24"/>
          <w:highlight w:val="none"/>
          <w:lang w:eastAsia="zh-CN"/>
        </w:rPr>
        <w:t>2022年7月16日</w:t>
      </w:r>
    </w:p>
    <w:p>
      <w:pPr>
        <w:pStyle w:val="2"/>
        <w:rPr>
          <w:rFonts w:hint="default"/>
          <w:lang w:eastAsia="zh-CN"/>
        </w:rPr>
      </w:pPr>
    </w:p>
    <w:sectPr>
      <w:footerReference r:id="rId3" w:type="default"/>
      <w:pgSz w:w="11906" w:h="16838"/>
      <w:pgMar w:top="1440" w:right="1080" w:bottom="1440" w:left="1080"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8"/>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65E2C2C"/>
    <w:multiLevelType w:val="singleLevel"/>
    <w:tmpl w:val="C65E2C2C"/>
    <w:lvl w:ilvl="0" w:tentative="0">
      <w:start w:val="4"/>
      <w:numFmt w:val="decimal"/>
      <w:suff w:val="space"/>
      <w:lvlText w:val="%1."/>
      <w:lvlJc w:val="left"/>
    </w:lvl>
  </w:abstractNum>
  <w:abstractNum w:abstractNumId="1">
    <w:nsid w:val="EC370676"/>
    <w:multiLevelType w:val="singleLevel"/>
    <w:tmpl w:val="EC370676"/>
    <w:lvl w:ilvl="0" w:tentative="0">
      <w:start w:val="1"/>
      <w:numFmt w:val="decimal"/>
      <w:suff w:val="space"/>
      <w:lvlText w:val="%1."/>
      <w:lvlJc w:val="left"/>
    </w:lvl>
  </w:abstractNum>
  <w:abstractNum w:abstractNumId="2">
    <w:nsid w:val="25DA57D9"/>
    <w:multiLevelType w:val="multilevel"/>
    <w:tmpl w:val="25DA57D9"/>
    <w:lvl w:ilvl="0" w:tentative="0">
      <w:start w:val="3"/>
      <w:numFmt w:val="japaneseCounting"/>
      <w:lvlText w:val="%1、"/>
      <w:lvlJc w:val="left"/>
      <w:pPr>
        <w:ind w:left="1280" w:hanging="720"/>
      </w:pPr>
      <w:rPr>
        <w:rFonts w:hint="default" w:cs="Times New Roman"/>
      </w:rPr>
    </w:lvl>
    <w:lvl w:ilvl="1" w:tentative="0">
      <w:start w:val="1"/>
      <w:numFmt w:val="lowerLetter"/>
      <w:lvlText w:val="%2)"/>
      <w:lvlJc w:val="left"/>
      <w:pPr>
        <w:ind w:left="1400" w:hanging="420"/>
      </w:pPr>
      <w:rPr>
        <w:rFonts w:cs="Times New Roman"/>
      </w:rPr>
    </w:lvl>
    <w:lvl w:ilvl="2" w:tentative="0">
      <w:start w:val="1"/>
      <w:numFmt w:val="lowerRoman"/>
      <w:lvlText w:val="%3."/>
      <w:lvlJc w:val="right"/>
      <w:pPr>
        <w:ind w:left="1820" w:hanging="420"/>
      </w:pPr>
      <w:rPr>
        <w:rFonts w:cs="Times New Roman"/>
      </w:rPr>
    </w:lvl>
    <w:lvl w:ilvl="3" w:tentative="0">
      <w:start w:val="1"/>
      <w:numFmt w:val="decimal"/>
      <w:lvlText w:val="%4."/>
      <w:lvlJc w:val="left"/>
      <w:pPr>
        <w:ind w:left="2240" w:hanging="420"/>
      </w:pPr>
      <w:rPr>
        <w:rFonts w:cs="Times New Roman"/>
      </w:rPr>
    </w:lvl>
    <w:lvl w:ilvl="4" w:tentative="0">
      <w:start w:val="1"/>
      <w:numFmt w:val="lowerLetter"/>
      <w:lvlText w:val="%5)"/>
      <w:lvlJc w:val="left"/>
      <w:pPr>
        <w:ind w:left="2660" w:hanging="420"/>
      </w:pPr>
      <w:rPr>
        <w:rFonts w:cs="Times New Roman"/>
      </w:rPr>
    </w:lvl>
    <w:lvl w:ilvl="5" w:tentative="0">
      <w:start w:val="1"/>
      <w:numFmt w:val="lowerRoman"/>
      <w:lvlText w:val="%6."/>
      <w:lvlJc w:val="right"/>
      <w:pPr>
        <w:ind w:left="3080" w:hanging="420"/>
      </w:pPr>
      <w:rPr>
        <w:rFonts w:cs="Times New Roman"/>
      </w:rPr>
    </w:lvl>
    <w:lvl w:ilvl="6" w:tentative="0">
      <w:start w:val="1"/>
      <w:numFmt w:val="decimal"/>
      <w:lvlText w:val="%7."/>
      <w:lvlJc w:val="left"/>
      <w:pPr>
        <w:ind w:left="3500" w:hanging="420"/>
      </w:pPr>
      <w:rPr>
        <w:rFonts w:cs="Times New Roman"/>
      </w:rPr>
    </w:lvl>
    <w:lvl w:ilvl="7" w:tentative="0">
      <w:start w:val="1"/>
      <w:numFmt w:val="lowerLetter"/>
      <w:lvlText w:val="%8)"/>
      <w:lvlJc w:val="left"/>
      <w:pPr>
        <w:ind w:left="3920" w:hanging="420"/>
      </w:pPr>
      <w:rPr>
        <w:rFonts w:cs="Times New Roman"/>
      </w:rPr>
    </w:lvl>
    <w:lvl w:ilvl="8" w:tentative="0">
      <w:start w:val="1"/>
      <w:numFmt w:val="lowerRoman"/>
      <w:lvlText w:val="%9."/>
      <w:lvlJc w:val="right"/>
      <w:pPr>
        <w:ind w:left="4340" w:hanging="420"/>
      </w:pPr>
      <w:rPr>
        <w:rFonts w:cs="Times New Roman"/>
      </w:rPr>
    </w:lvl>
  </w:abstractNum>
  <w:abstractNum w:abstractNumId="3">
    <w:nsid w:val="4401761E"/>
    <w:multiLevelType w:val="singleLevel"/>
    <w:tmpl w:val="4401761E"/>
    <w:lvl w:ilvl="0" w:tentative="0">
      <w:start w:val="2"/>
      <w:numFmt w:val="decimal"/>
      <w:suff w:val="space"/>
      <w:lvlText w:val="%1."/>
      <w:lvlJc w:val="left"/>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wYTNiZWI1N2FhZGJiMDc2OThhNGUzNmFjY2E4ZjUifQ=="/>
  </w:docVars>
  <w:rsids>
    <w:rsidRoot w:val="00000000"/>
    <w:rsid w:val="00D403B8"/>
    <w:rsid w:val="01A67464"/>
    <w:rsid w:val="02E1230E"/>
    <w:rsid w:val="0363342C"/>
    <w:rsid w:val="0400088B"/>
    <w:rsid w:val="06DC5C52"/>
    <w:rsid w:val="0705220E"/>
    <w:rsid w:val="07E235D4"/>
    <w:rsid w:val="0A775B6C"/>
    <w:rsid w:val="0BB105F9"/>
    <w:rsid w:val="0BCD78E3"/>
    <w:rsid w:val="0BD4352F"/>
    <w:rsid w:val="0C9D7A18"/>
    <w:rsid w:val="0D002E61"/>
    <w:rsid w:val="0E9F521D"/>
    <w:rsid w:val="110D6D4E"/>
    <w:rsid w:val="12BE4513"/>
    <w:rsid w:val="13242E95"/>
    <w:rsid w:val="17073D8B"/>
    <w:rsid w:val="174A7237"/>
    <w:rsid w:val="188E6607"/>
    <w:rsid w:val="18B2210E"/>
    <w:rsid w:val="18D05E89"/>
    <w:rsid w:val="19BD6A9B"/>
    <w:rsid w:val="1AAF6CA7"/>
    <w:rsid w:val="1B753DC5"/>
    <w:rsid w:val="1B7C7285"/>
    <w:rsid w:val="1BAC68BE"/>
    <w:rsid w:val="1D4B1F15"/>
    <w:rsid w:val="1DF30D46"/>
    <w:rsid w:val="1E9D1B02"/>
    <w:rsid w:val="20F95110"/>
    <w:rsid w:val="21E62141"/>
    <w:rsid w:val="22FE6CD0"/>
    <w:rsid w:val="23253252"/>
    <w:rsid w:val="24DD3549"/>
    <w:rsid w:val="27420539"/>
    <w:rsid w:val="27776D4F"/>
    <w:rsid w:val="284C33EF"/>
    <w:rsid w:val="286B6E9D"/>
    <w:rsid w:val="2BD129D7"/>
    <w:rsid w:val="2BFB35B9"/>
    <w:rsid w:val="2C8345D6"/>
    <w:rsid w:val="2DE61E9D"/>
    <w:rsid w:val="2E594393"/>
    <w:rsid w:val="31572BC2"/>
    <w:rsid w:val="337178B1"/>
    <w:rsid w:val="33E80446"/>
    <w:rsid w:val="355B58BF"/>
    <w:rsid w:val="35A21894"/>
    <w:rsid w:val="35CA7C00"/>
    <w:rsid w:val="36292142"/>
    <w:rsid w:val="371221B6"/>
    <w:rsid w:val="38CF7882"/>
    <w:rsid w:val="395656FC"/>
    <w:rsid w:val="3A002C99"/>
    <w:rsid w:val="3B2962D5"/>
    <w:rsid w:val="3B9345B4"/>
    <w:rsid w:val="3C495586"/>
    <w:rsid w:val="3C614E95"/>
    <w:rsid w:val="3D216C63"/>
    <w:rsid w:val="3D481CA9"/>
    <w:rsid w:val="3F763BD3"/>
    <w:rsid w:val="407E79EC"/>
    <w:rsid w:val="425A3055"/>
    <w:rsid w:val="42D02360"/>
    <w:rsid w:val="42ED0B8D"/>
    <w:rsid w:val="440B2C50"/>
    <w:rsid w:val="45B12AB5"/>
    <w:rsid w:val="46440069"/>
    <w:rsid w:val="47203484"/>
    <w:rsid w:val="483D5E39"/>
    <w:rsid w:val="4BC32318"/>
    <w:rsid w:val="4CF47C94"/>
    <w:rsid w:val="4D966CB6"/>
    <w:rsid w:val="51603323"/>
    <w:rsid w:val="52082039"/>
    <w:rsid w:val="520B1012"/>
    <w:rsid w:val="56DD1623"/>
    <w:rsid w:val="56F32201"/>
    <w:rsid w:val="584674DB"/>
    <w:rsid w:val="59632F9B"/>
    <w:rsid w:val="59772D6C"/>
    <w:rsid w:val="5B994AD0"/>
    <w:rsid w:val="5BB97A85"/>
    <w:rsid w:val="5C705EEE"/>
    <w:rsid w:val="5D580A9C"/>
    <w:rsid w:val="5D9948D6"/>
    <w:rsid w:val="5F0C4CFF"/>
    <w:rsid w:val="602A22C2"/>
    <w:rsid w:val="6268230E"/>
    <w:rsid w:val="64C4763E"/>
    <w:rsid w:val="65826A80"/>
    <w:rsid w:val="66FB5067"/>
    <w:rsid w:val="68224ED6"/>
    <w:rsid w:val="6A4209DB"/>
    <w:rsid w:val="6ABA50EB"/>
    <w:rsid w:val="6DEB0CC4"/>
    <w:rsid w:val="6E620EC2"/>
    <w:rsid w:val="70346B17"/>
    <w:rsid w:val="72964393"/>
    <w:rsid w:val="72C90F73"/>
    <w:rsid w:val="7593546D"/>
    <w:rsid w:val="75C3338A"/>
    <w:rsid w:val="76AB541C"/>
    <w:rsid w:val="77930543"/>
    <w:rsid w:val="7FC466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iPriority="99"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qFormat="1" w:uiPriority="99"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9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customStyle="1" w:styleId="2">
    <w:name w:val="li_正文"/>
    <w:basedOn w:val="1"/>
    <w:qFormat/>
    <w:uiPriority w:val="0"/>
    <w:pPr>
      <w:ind w:firstLine="200" w:firstLineChars="200"/>
      <w:jc w:val="left"/>
    </w:pPr>
    <w:rPr>
      <w:rFonts w:ascii="Calibri" w:hAnsi="Calibri" w:eastAsia="宋体" w:cs="Times New Roman"/>
      <w:sz w:val="28"/>
      <w:szCs w:val="28"/>
    </w:rPr>
  </w:style>
  <w:style w:type="paragraph" w:styleId="3">
    <w:name w:val="annotation text"/>
    <w:basedOn w:val="1"/>
    <w:unhideWhenUsed/>
    <w:qFormat/>
    <w:uiPriority w:val="99"/>
    <w:pPr>
      <w:jc w:val="left"/>
    </w:pPr>
  </w:style>
  <w:style w:type="paragraph" w:styleId="4">
    <w:name w:val="Body Text"/>
    <w:basedOn w:val="1"/>
    <w:next w:val="5"/>
    <w:qFormat/>
    <w:uiPriority w:val="0"/>
    <w:pPr>
      <w:spacing w:after="120"/>
    </w:pPr>
  </w:style>
  <w:style w:type="paragraph" w:styleId="5">
    <w:name w:val="Date"/>
    <w:basedOn w:val="1"/>
    <w:next w:val="1"/>
    <w:qFormat/>
    <w:uiPriority w:val="0"/>
    <w:pPr>
      <w:ind w:left="100" w:leftChars="2500"/>
    </w:pPr>
    <w:rPr>
      <w:rFonts w:ascii="宋体" w:hAnsi="宋体"/>
      <w:szCs w:val="24"/>
    </w:rPr>
  </w:style>
  <w:style w:type="paragraph" w:styleId="6">
    <w:name w:val="Block Text"/>
    <w:basedOn w:val="1"/>
    <w:unhideWhenUsed/>
    <w:qFormat/>
    <w:uiPriority w:val="99"/>
    <w:pPr>
      <w:adjustRightInd/>
      <w:ind w:left="525" w:leftChars="250" w:right="685" w:rightChars="326" w:firstLine="560"/>
      <w:jc w:val="both"/>
      <w:textAlignment w:val="auto"/>
    </w:pPr>
    <w:rPr>
      <w:sz w:val="28"/>
      <w:szCs w:val="24"/>
    </w:rPr>
  </w:style>
  <w:style w:type="paragraph" w:styleId="7">
    <w:name w:val="Plain Text"/>
    <w:basedOn w:val="1"/>
    <w:unhideWhenUsed/>
    <w:qFormat/>
    <w:uiPriority w:val="99"/>
    <w:rPr>
      <w:rFonts w:ascii="宋体" w:hAnsi="Courier New" w:cs="Courier New"/>
      <w:szCs w:val="21"/>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1">
    <w:name w:val="Table Grid"/>
    <w:basedOn w:val="10"/>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3">
    <w:name w:val="List Paragraph"/>
    <w:basedOn w:val="1"/>
    <w:qFormat/>
    <w:uiPriority w:val="99"/>
    <w:pPr>
      <w:ind w:firstLine="420" w:firstLineChars="200"/>
    </w:pPr>
  </w:style>
  <w:style w:type="paragraph" w:customStyle="1" w:styleId="14">
    <w:name w:val="Default"/>
    <w:unhideWhenUsed/>
    <w:qFormat/>
    <w:uiPriority w:val="99"/>
    <w:pPr>
      <w:widowControl w:val="0"/>
      <w:autoSpaceDE w:val="0"/>
      <w:autoSpaceDN w:val="0"/>
      <w:adjustRightInd w:val="0"/>
    </w:pPr>
    <w:rPr>
      <w:rFonts w:hint="eastAsia" w:ascii="宋体" w:hAnsi="宋体" w:eastAsia="宋体" w:cs="Times New Roman"/>
      <w:color w:val="000000"/>
      <w:sz w:val="24"/>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2861</Words>
  <Characters>3147</Characters>
  <Lines>0</Lines>
  <Paragraphs>0</Paragraphs>
  <TotalTime>2</TotalTime>
  <ScaleCrop>false</ScaleCrop>
  <LinksUpToDate>false</LinksUpToDate>
  <CharactersWithSpaces>3189</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不二橙。</cp:lastModifiedBy>
  <dcterms:modified xsi:type="dcterms:W3CDTF">2022-07-29T08:07:26Z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3D5EB39E1CB94214806B83175F5F442D</vt:lpwstr>
  </property>
  <property fmtid="{D5CDD505-2E9C-101B-9397-08002B2CF9AE}" pid="4" name="commondata">
    <vt:lpwstr>eyJoZGlkIjoiMjQwYTNiZWI1N2FhZGJiMDc2OThhNGUzNmFjY2E4ZjUifQ==</vt:lpwstr>
  </property>
</Properties>
</file>