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聊城聚而发有色金属有限公司年产10000吨铜管迁建项目</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2022年7月16日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聊城聚而发有色金属有限公司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年产10000吨铜管迁建项目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聊城聚而发有色金属有限公司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聊城聚而发有色金属有限公司位于莘县河店镇工业集聚区、一七路南。项目总投资3246.8万元，租赁闲置土地10032m</w:t>
      </w:r>
      <w:r>
        <w:rPr>
          <w:rFonts w:hint="eastAsia" w:cs="Times New Roman"/>
          <w:color w:val="auto"/>
          <w:sz w:val="24"/>
          <w:szCs w:val="24"/>
          <w:vertAlign w:val="superscript"/>
          <w:lang w:eastAsia="zh-CN"/>
        </w:rPr>
        <w:t>2</w:t>
      </w:r>
      <w:r>
        <w:rPr>
          <w:rFonts w:hint="eastAsia" w:cs="Times New Roman"/>
          <w:color w:val="auto"/>
          <w:sz w:val="24"/>
          <w:szCs w:val="24"/>
          <w:vertAlign w:val="baseline"/>
          <w:lang w:eastAsia="zh-CN"/>
        </w:rPr>
        <w:t>，</w:t>
      </w:r>
      <w:r>
        <w:rPr>
          <w:rFonts w:hint="eastAsia" w:cs="Times New Roman"/>
          <w:color w:val="auto"/>
          <w:sz w:val="24"/>
          <w:szCs w:val="24"/>
          <w:lang w:eastAsia="zh-CN"/>
        </w:rPr>
        <w:t>建设生产车间及办公室，搬迁3台0.5t/h电炉，淘汰1台老旧0.5t/h电炉，新增1台0.2t/h电炉、1台0.3t/h电炉；离心机搬迁10台、淘汰3台；牵引机搬迁7台、新增7台；切割机搬迁7台、新增10台；加工中心搬迁3套；保持器精加工生产设备搬迁9台、新增8台；及其他辅助及环保设备，保持原有生产规模不变，搬迁改造后全厂生产规模为10000t/a铜管，不改变铸造工艺，未扩大产能</w:t>
      </w:r>
      <w:r>
        <w:rPr>
          <w:rFonts w:hint="default" w:ascii="Times New Roman" w:hAnsi="Times New Roman" w:eastAsia="宋体"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聊城聚而发有色金属有限公司原有项目位于莘县河店镇工业聚集区，二七路北侧，S259西侧，公司原有“年产7000吨铜管项目”（以下简称“原有项目一”），于2013年11月5日通过原莘县环境保护局审批（莘环审[2013]101号），并于2013年11月12日通过莘县环境保护局验收（莘环验[2013]38号），配备0.5t/h电炉1台，实际生产规模为年产铜管2000t；“年产10000吨铜管改扩建项目”（以下简称“原有项目二”），于2017年7月11日通过原莘县环境保护局审批（莘环报告表[2017]32号），设计规模为0.5t/h电炉4台，其中一期工程配备0.5t/h电炉3台，并于2018年11月12日对其“原有项目二（一期）”及“原有项目一”整体进行自主验收，其验收时实际产能可达10000t铜管，当年产量为9000t。</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本次验收为新建（搬迁）项目。2020年7月聊城聚而发有色金属有限公司委托山东碧源项目咨询有限公司编制了《聊城聚而发有色金属有限公司年产10000吨铜管迁建项目环境影响报告表》，2020年10月12日莘县行政审批服务局以莘行审报告表〔2020〕74号对其进行了审批。</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2022年4月公司委托山东绿和环保咨询有限公司进行本项目的环保验收工作，山东绿和环保咨询有限公司组织有关技术人员进行现场踏勘，依据监测技术规范制定了环保验收监测方案，并委托山东聊和环保科技有限公司于2022年04月25日-26日、2022年07月13日-14日对该企业进行了项目检测，根据验收监测结果和现场检查情况，山东绿和环保咨询有限公司编制了本项目验收监测报告</w:t>
      </w:r>
      <w:r>
        <w:rPr>
          <w:rFonts w:hint="default" w:ascii="Times New Roman" w:hAnsi="Times New Roman" w:eastAsia="宋体" w:cs="Times New Roman"/>
          <w:color w:val="auto"/>
          <w:kern w:val="2"/>
          <w:sz w:val="24"/>
          <w:szCs w:val="24"/>
          <w:lang w:val="en-US" w:eastAsia="zh-CN" w:bidi="ar-SA"/>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3246.8</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67</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2.06</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年产10000吨铜管的</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本项目环评批复要求“对于冷拔工艺熔炼烟尘，建设单位须对熔炼车间全封闭，在熔炼工序上方设置集气罩对废气进行收集后，经一台布袋除尘器处理，最终通过一根15m高（P1)排气筒排放”，实际因设备、原料存放空间等原因，将冷拔工艺分为两个车间，冷拔工艺产生的废气经各自布袋除尘器处理后分别由15米高排气筒P1、P3排放。根据《排污许可证申请与核发技术规范 金属铸造工业》（HJ1115-2020），新增排放口属于一般排放口。根据《关于印发污染影响类建设项目重大变动清单（试行）的通知》环办环评函〔2020〕688号第5条，本项目新增车间未导致新增敏感点；第10条，本项目新增废气排放口为一般排放口，不属于主要排放口。</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②本项目实际不使用切削液，无废切削液产生，软水制备不使用离子交换树脂，仅使用反渗透膜，无废树脂产生，即本项目无危险废物产生。</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综上，根据《关于印发污染影响类建设项目重大变动清单（试行）的通知》环办环评函〔2020〕688号，本项目性质、规模、地点、生产工艺以及环境保护措施均不涉及重大变动。</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本项目废水主要为冷却循环水排污水、软水设备浓水、职工生活污水。其中，冷却循环水排污水用于厂区绿化；软水设备废水用于厂区扫水抑尘；职工生活污水由厂区化粪池处理后，委托环卫部门定期清运。</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本项目废气主要为冷拔工艺、离心铸造工艺产生的颗粒物。</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冷拔工艺熔炼、浇铸过程全封闭，废气经布袋除尘器处理后由15米高排气筒P</w:t>
      </w:r>
      <w:r>
        <w:rPr>
          <w:rFonts w:hint="default" w:ascii="Times New Roman" w:hAnsi="Times New Roman" w:eastAsia="宋体" w:cs="Times New Roman"/>
          <w:snapToGrid w:val="0"/>
          <w:color w:val="auto"/>
          <w:kern w:val="0"/>
          <w:sz w:val="24"/>
          <w:szCs w:val="24"/>
          <w:vertAlign w:val="subscript"/>
          <w:lang w:val="en-US" w:eastAsia="zh-CN"/>
        </w:rPr>
        <w:t>1</w:t>
      </w:r>
      <w:r>
        <w:rPr>
          <w:rFonts w:hint="default" w:ascii="Times New Roman" w:hAnsi="Times New Roman" w:eastAsia="宋体" w:cs="Times New Roman"/>
          <w:snapToGrid w:val="0"/>
          <w:color w:val="auto"/>
          <w:kern w:val="0"/>
          <w:sz w:val="24"/>
          <w:szCs w:val="24"/>
          <w:lang w:val="en-US" w:eastAsia="zh-CN"/>
        </w:rPr>
        <w:t>、P</w:t>
      </w:r>
      <w:r>
        <w:rPr>
          <w:rFonts w:hint="default" w:ascii="Times New Roman" w:hAnsi="Times New Roman" w:eastAsia="宋体" w:cs="Times New Roman"/>
          <w:snapToGrid w:val="0"/>
          <w:color w:val="auto"/>
          <w:kern w:val="0"/>
          <w:sz w:val="24"/>
          <w:szCs w:val="24"/>
          <w:vertAlign w:val="subscript"/>
          <w:lang w:val="en-US" w:eastAsia="zh-CN"/>
        </w:rPr>
        <w:t>3</w:t>
      </w:r>
      <w:r>
        <w:rPr>
          <w:rFonts w:hint="default" w:ascii="Times New Roman" w:hAnsi="Times New Roman" w:eastAsia="宋体" w:cs="Times New Roman"/>
          <w:snapToGrid w:val="0"/>
          <w:color w:val="auto"/>
          <w:kern w:val="0"/>
          <w:sz w:val="24"/>
          <w:szCs w:val="24"/>
          <w:lang w:val="en-US" w:eastAsia="zh-CN"/>
        </w:rPr>
        <w:t>排放；离心铸造工艺熔炼过程全封闭，废气收集后经布袋除尘器处理后由15米高排气筒P</w:t>
      </w:r>
      <w:r>
        <w:rPr>
          <w:rFonts w:hint="default" w:ascii="Times New Roman" w:hAnsi="Times New Roman" w:eastAsia="宋体" w:cs="Times New Roman"/>
          <w:snapToGrid w:val="0"/>
          <w:color w:val="auto"/>
          <w:kern w:val="0"/>
          <w:sz w:val="24"/>
          <w:szCs w:val="24"/>
          <w:vertAlign w:val="subscript"/>
          <w:lang w:val="en-US" w:eastAsia="zh-CN"/>
        </w:rPr>
        <w:t>2</w:t>
      </w:r>
      <w:r>
        <w:rPr>
          <w:rFonts w:hint="default" w:ascii="Times New Roman" w:hAnsi="Times New Roman" w:eastAsia="宋体" w:cs="Times New Roman"/>
          <w:snapToGrid w:val="0"/>
          <w:color w:val="auto"/>
          <w:kern w:val="0"/>
          <w:sz w:val="24"/>
          <w:szCs w:val="24"/>
          <w:lang w:val="en-US" w:eastAsia="zh-CN"/>
        </w:rPr>
        <w:t>排放，浇铸废气经集气罩收集，收集后废气与熔炼工序共用1台布袋除尘器处理后经1根15m高排气筒P</w:t>
      </w:r>
      <w:r>
        <w:rPr>
          <w:rFonts w:hint="default" w:ascii="Times New Roman" w:hAnsi="Times New Roman" w:eastAsia="宋体" w:cs="Times New Roman"/>
          <w:snapToGrid w:val="0"/>
          <w:color w:val="auto"/>
          <w:kern w:val="0"/>
          <w:sz w:val="24"/>
          <w:szCs w:val="24"/>
          <w:vertAlign w:val="subscript"/>
          <w:lang w:val="en-US" w:eastAsia="zh-CN"/>
        </w:rPr>
        <w:t>2</w:t>
      </w:r>
      <w:r>
        <w:rPr>
          <w:rFonts w:hint="default" w:ascii="Times New Roman" w:hAnsi="Times New Roman" w:eastAsia="宋体" w:cs="Times New Roman"/>
          <w:snapToGrid w:val="0"/>
          <w:color w:val="auto"/>
          <w:kern w:val="0"/>
          <w:sz w:val="24"/>
          <w:szCs w:val="24"/>
          <w:lang w:val="en-US" w:eastAsia="zh-CN"/>
        </w:rPr>
        <w:t xml:space="preserve">排放。 </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对于未收集到的粉尘，采取密闭车间措施后以无组织形式排放。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本项目噪声主要来源于工频电炉、空压机、切割机、加工中心和风机等各类机械设备。通过基础减振、厂房隔声、距离衰减等措施，降低对外环境的影响。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本项目固体废物主要为废包装、炉渣、废模具（离心铸造废模具、冷拔工艺废模具）、下脚料、除尘器灰渣、废反渗透膜、废布袋、废棉纱、职工生活垃圾。</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对于废包装、炉渣、除尘器灰渣、废模具，全部外售给物资回收站；对于下脚料，全部回用于生产；对于冷拔工艺废模具，由厂家回收利用；对于废反渗透膜、废布袋、废棉纱、职工生活垃圾，由环卫部门定期清运、处理。</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山东绿和环保咨询有限公司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聊城聚而发有色金属有限公司年产10000吨铜管迁建项目</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color w:val="auto"/>
          <w:sz w:val="24"/>
          <w:szCs w:val="24"/>
          <w:lang w:val="en-US" w:eastAsia="zh-CN"/>
        </w:rPr>
        <w:t>同上文三、（</w:t>
      </w:r>
      <w:r>
        <w:rPr>
          <w:rFonts w:hint="eastAsia" w:cs="Times New Roman"/>
          <w:color w:val="auto"/>
          <w:sz w:val="24"/>
          <w:szCs w:val="24"/>
          <w:lang w:val="en-US" w:eastAsia="zh-CN"/>
        </w:rPr>
        <w:t>一</w:t>
      </w:r>
      <w:r>
        <w:rPr>
          <w:rFonts w:hint="default" w:ascii="Times New Roman" w:hAnsi="Times New Roman" w:eastAsia="宋体"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rPr>
        <w:t>验</w:t>
      </w:r>
      <w:r>
        <w:rPr>
          <w:rFonts w:hint="default" w:ascii="Times New Roman" w:hAnsi="Times New Roman" w:eastAsia="宋体" w:cs="Times New Roman"/>
          <w:bCs/>
          <w:color w:val="auto"/>
          <w:sz w:val="24"/>
          <w:szCs w:val="24"/>
        </w:rPr>
        <w:t>收监测期间，</w:t>
      </w:r>
      <w:r>
        <w:rPr>
          <w:rFonts w:hint="default" w:ascii="Times New Roman" w:hAnsi="Times New Roman" w:cs="Times New Roman"/>
          <w:color w:val="auto"/>
          <w:sz w:val="24"/>
          <w:szCs w:val="24"/>
          <w:lang w:eastAsia="zh-CN"/>
        </w:rPr>
        <w:t>有组织颗粒物</w:t>
      </w:r>
      <w:r>
        <w:rPr>
          <w:rFonts w:hint="default" w:ascii="Times New Roman" w:hAnsi="Times New Roman" w:cs="Times New Roman"/>
          <w:bCs/>
          <w:color w:val="auto"/>
          <w:sz w:val="24"/>
          <w:szCs w:val="24"/>
          <w:lang w:val="en-US" w:eastAsia="zh-CN"/>
        </w:rPr>
        <w:t>最高排放浓度为1.</w:t>
      </w:r>
      <w:r>
        <w:rPr>
          <w:rFonts w:hint="eastAsia" w:ascii="Times New Roman" w:hAnsi="Times New Roman" w:cs="Times New Roman"/>
          <w:bCs/>
          <w:color w:val="auto"/>
          <w:sz w:val="24"/>
          <w:szCs w:val="24"/>
          <w:lang w:val="en-US" w:eastAsia="zh-CN"/>
        </w:rPr>
        <w:t>8</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eastAsia="zh-CN"/>
        </w:rPr>
        <w:t>排放速率最高为</w:t>
      </w:r>
      <w:r>
        <w:rPr>
          <w:rFonts w:hint="eastAsia" w:ascii="Times New Roman" w:hAnsi="Times New Roman" w:cs="Times New Roman"/>
          <w:bCs/>
          <w:color w:val="auto"/>
          <w:sz w:val="24"/>
          <w:szCs w:val="24"/>
          <w:lang w:val="en-US" w:eastAsia="zh-CN"/>
        </w:rPr>
        <w:t>0.023</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，满足《区域性大气污染物综合排放标准》（DB37/2376-2019）中表1中“一般控制区”标准及《大气污染物综合排放标准》（GB16297-1996）表2二级标准要求。</w:t>
      </w:r>
      <w:r>
        <w:rPr>
          <w:rFonts w:hint="default" w:ascii="Times New Roman" w:hAnsi="Times New Roman" w:eastAsia="宋体" w:cs="Times New Roman"/>
          <w:color w:val="auto"/>
          <w:sz w:val="24"/>
          <w:szCs w:val="24"/>
          <w:lang w:eastAsia="zh-CN"/>
        </w:rPr>
        <w:t>无组织颗粒物小时浓度最高为0.</w:t>
      </w:r>
      <w:r>
        <w:rPr>
          <w:rFonts w:hint="eastAsia" w:ascii="Times New Roman" w:hAnsi="Times New Roman" w:eastAsia="宋体" w:cs="Times New Roman"/>
          <w:color w:val="auto"/>
          <w:sz w:val="24"/>
          <w:szCs w:val="24"/>
          <w:lang w:val="en-US" w:eastAsia="zh-CN"/>
        </w:rPr>
        <w:t>440</w:t>
      </w:r>
      <w:r>
        <w:rPr>
          <w:rFonts w:hint="default" w:ascii="Times New Roman" w:hAnsi="Times New Roman" w:cs="Times New Roman"/>
          <w:color w:val="auto"/>
          <w:sz w:val="24"/>
          <w:szCs w:val="24"/>
          <w:lang w:val="en-US" w:eastAsia="zh-CN"/>
        </w:rPr>
        <w:t>mg/m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vertAlign w:val="baseline"/>
          <w:lang w:val="en-US" w:eastAsia="zh-CN"/>
        </w:rPr>
        <w:t>，满足《大气污染物综合排放标准》（GB16297-1996）表2中无组织排放监控浓度的要求</w:t>
      </w:r>
      <w:r>
        <w:rPr>
          <w:rFonts w:hint="eastAsia" w:cs="Times New Roman"/>
          <w:color w:val="auto"/>
          <w:sz w:val="24"/>
          <w:szCs w:val="24"/>
          <w:lang w:val="en-US" w:eastAsia="zh-CN"/>
        </w:rPr>
        <w:t xml:space="preserve">。 </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auto"/>
          <w:sz w:val="24"/>
          <w:szCs w:val="24"/>
        </w:rPr>
        <w:t>验收监测期间，监测点位昼间噪声在56.8-58.2(dB)之间，监测点位夜间在46.5-48.3(dB)之间，符合《工业企业厂界环境噪声排放标准》（GB12348－2008）中的2类标准限值</w:t>
      </w:r>
      <w:r>
        <w:rPr>
          <w:rFonts w:hint="default" w:ascii="Times New Roman" w:hAnsi="Times New Roman" w:eastAsia="宋体" w:cs="Times New Roman"/>
          <w:color w:val="000000"/>
          <w:kern w:val="2"/>
          <w:sz w:val="24"/>
          <w:szCs w:val="24"/>
          <w:lang w:val="en-US" w:eastAsia="zh-CN" w:bidi="ar-SA"/>
        </w:rPr>
        <w:t>。</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聊城聚而发有色金属有限公司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聊城聚而发有色金属有限公司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五、</w:t>
      </w:r>
      <w:r>
        <w:rPr>
          <w:rFonts w:hint="eastAsia" w:cs="Times New Roman"/>
          <w:color w:val="auto"/>
          <w:sz w:val="24"/>
          <w:szCs w:val="24"/>
          <w:lang w:eastAsia="zh-CN"/>
        </w:rPr>
        <w:t>专家意见</w:t>
      </w:r>
    </w:p>
    <w:p>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1、进一步密闭电炉、离心机上方集气罩，提高废气收集效率。</w:t>
      </w:r>
    </w:p>
    <w:p>
      <w:pPr>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sz w:val="24"/>
          <w:szCs w:val="24"/>
          <w:lang w:val="en-US" w:eastAsia="zh-CN"/>
        </w:rPr>
        <w:t>2、严格按照《一般工业固体废物贮存和填埋污染控制标准》（GB 18599-2020）要求规范存放一般工业固废；危险废物严格按照《危险废物贮存污染控制标准》（GB18597-2001）及修改单要求，对产生的危险废物进行贮存和管理，并委托有资质的单位及时进行转移处置</w:t>
      </w:r>
      <w:r>
        <w:rPr>
          <w:rFonts w:hint="default" w:ascii="Times New Roman" w:hAnsi="Times New Roman" w:eastAsia="宋体" w:cs="Times New Roman"/>
          <w:color w:val="auto"/>
          <w:kern w:val="2"/>
          <w:sz w:val="24"/>
          <w:szCs w:val="24"/>
          <w:lang w:val="en-US" w:eastAsia="zh-CN" w:bidi="ar-SA"/>
        </w:rPr>
        <w:t>。</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六、验收结论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wordWrap w:val="0"/>
        <w:spacing w:line="360" w:lineRule="auto"/>
        <w:ind w:left="233" w:leftChars="111" w:firstLine="520" w:firstLineChars="216"/>
        <w:jc w:val="right"/>
        <w:rPr>
          <w:rFonts w:hint="eastAsia" w:cs="Times New Roman"/>
          <w:b/>
          <w:bCs/>
          <w:color w:val="auto"/>
          <w:sz w:val="24"/>
          <w:szCs w:val="24"/>
          <w:lang w:val="en-US" w:eastAsia="zh-CN"/>
        </w:rPr>
      </w:pPr>
    </w:p>
    <w:p>
      <w:pPr>
        <w:wordWrap w:val="0"/>
        <w:spacing w:line="360" w:lineRule="auto"/>
        <w:ind w:left="233" w:leftChars="111" w:firstLine="520" w:firstLineChars="216"/>
        <w:jc w:val="right"/>
        <w:rPr>
          <w:rFonts w:hint="default" w:cs="Times New Roman"/>
          <w:b/>
          <w:bCs/>
          <w:color w:val="auto"/>
          <w:sz w:val="24"/>
          <w:szCs w:val="24"/>
          <w:lang w:val="en-US" w:eastAsia="zh-CN"/>
        </w:rPr>
      </w:pPr>
      <w:r>
        <w:rPr>
          <w:rFonts w:hint="eastAsia" w:cs="Times New Roman"/>
          <w:b/>
          <w:bCs/>
          <w:color w:val="auto"/>
          <w:sz w:val="24"/>
          <w:szCs w:val="24"/>
          <w:lang w:val="en-US" w:eastAsia="zh-CN"/>
        </w:rPr>
        <w:t xml:space="preserve"> </w:t>
      </w:r>
      <w:bookmarkStart w:id="0" w:name="_GoBack"/>
      <w:bookmarkEnd w:id="0"/>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聊城聚而发有色金属有限公司验收组</w:t>
      </w:r>
    </w:p>
    <w:p>
      <w:pPr>
        <w:spacing w:line="360" w:lineRule="auto"/>
        <w:ind w:left="233" w:leftChars="111" w:firstLine="520" w:firstLineChars="216"/>
        <w:jc w:val="right"/>
        <w:rPr>
          <w:rFonts w:hint="default"/>
          <w:color w:val="auto"/>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2022年7月16日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MmQyNTFkOTFmY2M3Y2Q3YzEzYmZlMzM2ZWU0M2EifQ=="/>
  </w:docVars>
  <w:rsids>
    <w:rsidRoot w:val="00000000"/>
    <w:rsid w:val="00D403B8"/>
    <w:rsid w:val="01A67464"/>
    <w:rsid w:val="02E1230E"/>
    <w:rsid w:val="0363342C"/>
    <w:rsid w:val="0400088B"/>
    <w:rsid w:val="06DC5C52"/>
    <w:rsid w:val="0705220E"/>
    <w:rsid w:val="07E235D4"/>
    <w:rsid w:val="0A775B6C"/>
    <w:rsid w:val="0BB105F9"/>
    <w:rsid w:val="0BCD78E3"/>
    <w:rsid w:val="0BD4352F"/>
    <w:rsid w:val="0C9D7A18"/>
    <w:rsid w:val="0D002E61"/>
    <w:rsid w:val="0E9F521D"/>
    <w:rsid w:val="0EF20DA9"/>
    <w:rsid w:val="0FD64E9F"/>
    <w:rsid w:val="110D6D4E"/>
    <w:rsid w:val="12BE4513"/>
    <w:rsid w:val="13242E95"/>
    <w:rsid w:val="14A230EF"/>
    <w:rsid w:val="17073D8B"/>
    <w:rsid w:val="188E6607"/>
    <w:rsid w:val="18B2210E"/>
    <w:rsid w:val="18D05E89"/>
    <w:rsid w:val="19BD6A9B"/>
    <w:rsid w:val="1AAF6CA7"/>
    <w:rsid w:val="1B372D00"/>
    <w:rsid w:val="1B753DC5"/>
    <w:rsid w:val="1B7C7285"/>
    <w:rsid w:val="1BAC68BE"/>
    <w:rsid w:val="1DF30D46"/>
    <w:rsid w:val="1E9D1B02"/>
    <w:rsid w:val="20F95110"/>
    <w:rsid w:val="21E62141"/>
    <w:rsid w:val="23253252"/>
    <w:rsid w:val="24DD3549"/>
    <w:rsid w:val="27420539"/>
    <w:rsid w:val="27776D4F"/>
    <w:rsid w:val="284C33EF"/>
    <w:rsid w:val="286B6E9D"/>
    <w:rsid w:val="2BD129D7"/>
    <w:rsid w:val="2BFB35B9"/>
    <w:rsid w:val="2C8345D6"/>
    <w:rsid w:val="2D1E75E2"/>
    <w:rsid w:val="2DE61E9D"/>
    <w:rsid w:val="2E594393"/>
    <w:rsid w:val="31572BC2"/>
    <w:rsid w:val="337178B1"/>
    <w:rsid w:val="33E80446"/>
    <w:rsid w:val="35A21894"/>
    <w:rsid w:val="35CA7C00"/>
    <w:rsid w:val="36292142"/>
    <w:rsid w:val="371221B6"/>
    <w:rsid w:val="395656FC"/>
    <w:rsid w:val="3A002C99"/>
    <w:rsid w:val="3B2962D5"/>
    <w:rsid w:val="3B9345B4"/>
    <w:rsid w:val="3BAC5A77"/>
    <w:rsid w:val="3C495586"/>
    <w:rsid w:val="3C614E95"/>
    <w:rsid w:val="3D216C63"/>
    <w:rsid w:val="3D44701A"/>
    <w:rsid w:val="3D481CA9"/>
    <w:rsid w:val="3DE20D1D"/>
    <w:rsid w:val="3E7D0FBB"/>
    <w:rsid w:val="3EF115E1"/>
    <w:rsid w:val="407E79EC"/>
    <w:rsid w:val="41DA2A3C"/>
    <w:rsid w:val="425A3055"/>
    <w:rsid w:val="42D02360"/>
    <w:rsid w:val="42ED0B8D"/>
    <w:rsid w:val="440B2C50"/>
    <w:rsid w:val="45B12AB5"/>
    <w:rsid w:val="46440069"/>
    <w:rsid w:val="483D5E39"/>
    <w:rsid w:val="4BC32318"/>
    <w:rsid w:val="4CF47C94"/>
    <w:rsid w:val="4D966CB6"/>
    <w:rsid w:val="51603323"/>
    <w:rsid w:val="51800668"/>
    <w:rsid w:val="51D32C9A"/>
    <w:rsid w:val="52082039"/>
    <w:rsid w:val="520B1012"/>
    <w:rsid w:val="522D7EDE"/>
    <w:rsid w:val="53D87E59"/>
    <w:rsid w:val="56DD1623"/>
    <w:rsid w:val="584674DB"/>
    <w:rsid w:val="59632F9B"/>
    <w:rsid w:val="59772D6C"/>
    <w:rsid w:val="5B994AD0"/>
    <w:rsid w:val="5BB97A85"/>
    <w:rsid w:val="5C705EEE"/>
    <w:rsid w:val="5D580A9C"/>
    <w:rsid w:val="5F0C4CFF"/>
    <w:rsid w:val="602A22C2"/>
    <w:rsid w:val="645131A5"/>
    <w:rsid w:val="64C4763E"/>
    <w:rsid w:val="65826A80"/>
    <w:rsid w:val="66FB5067"/>
    <w:rsid w:val="6A4209DB"/>
    <w:rsid w:val="6A4C0A9D"/>
    <w:rsid w:val="6ABA50EB"/>
    <w:rsid w:val="6DEB0CC4"/>
    <w:rsid w:val="6E620EC2"/>
    <w:rsid w:val="6FCF1540"/>
    <w:rsid w:val="70346B17"/>
    <w:rsid w:val="70C852E7"/>
    <w:rsid w:val="72964393"/>
    <w:rsid w:val="72C90F73"/>
    <w:rsid w:val="7593546D"/>
    <w:rsid w:val="75C3338A"/>
    <w:rsid w:val="76AB541C"/>
    <w:rsid w:val="7793054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2668</Words>
  <Characters>2887</Characters>
  <Lines>0</Lines>
  <Paragraphs>0</Paragraphs>
  <TotalTime>0</TotalTime>
  <ScaleCrop>false</ScaleCrop>
  <LinksUpToDate>false</LinksUpToDate>
  <CharactersWithSpaces>2924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2022-07-21T09:54:46Z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5F3E9D957CC14E9F938D06946CE12F19</vt:lpwstr>
  </property>
</Properties>
</file>