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220"/>
        </w:tabs>
        <w:spacing w:line="360" w:lineRule="auto"/>
        <w:ind w:left="218" w:leftChars="104" w:firstLine="0" w:firstLineChars="0"/>
        <w:jc w:val="center"/>
        <w:rPr>
          <w:rFonts w:hint="eastAsia" w:cs="Times New Roman"/>
          <w:b/>
          <w:color w:val="auto"/>
          <w:sz w:val="32"/>
          <w:szCs w:val="32"/>
          <w:lang w:val="en-US" w:eastAsia="zh-CN"/>
        </w:rPr>
      </w:pPr>
      <w:r>
        <w:rPr>
          <w:rFonts w:hint="eastAsia" w:cs="Times New Roman"/>
          <w:b/>
          <w:color w:val="auto"/>
          <w:sz w:val="32"/>
          <w:szCs w:val="32"/>
          <w:lang w:val="en-US" w:eastAsia="zh-CN"/>
        </w:rPr>
        <w:t>阳谷毕升印务有限公司书刊印刷技改项目</w:t>
      </w:r>
    </w:p>
    <w:p>
      <w:pPr>
        <w:tabs>
          <w:tab w:val="left" w:pos="220"/>
        </w:tabs>
        <w:spacing w:line="360" w:lineRule="auto"/>
        <w:ind w:left="218" w:leftChars="104" w:firstLine="0" w:firstLineChars="0"/>
        <w:jc w:val="center"/>
        <w:rPr>
          <w:rFonts w:hint="default" w:cs="Times New Roman"/>
          <w:b/>
          <w:color w:val="auto"/>
          <w:sz w:val="32"/>
          <w:szCs w:val="32"/>
          <w:lang w:val="en-US" w:eastAsia="zh-CN"/>
        </w:rPr>
      </w:pPr>
      <w:r>
        <w:rPr>
          <w:rFonts w:hint="default" w:cs="Times New Roman"/>
          <w:b/>
          <w:color w:val="auto"/>
          <w:sz w:val="32"/>
          <w:szCs w:val="32"/>
          <w:lang w:val="en-US" w:eastAsia="zh-CN"/>
        </w:rPr>
        <w:t>竣工环境保护验收现场检查及验收工作组验收意见</w:t>
      </w:r>
    </w:p>
    <w:p>
      <w:pPr>
        <w:tabs>
          <w:tab w:val="left" w:pos="220"/>
        </w:tabs>
        <w:spacing w:line="240" w:lineRule="auto"/>
        <w:ind w:left="233" w:leftChars="111" w:firstLine="518" w:firstLineChars="216"/>
        <w:jc w:val="left"/>
        <w:rPr>
          <w:rFonts w:hint="default" w:ascii="Times New Roman" w:hAnsi="Times New Roman" w:eastAsia="宋体" w:cs="Times New Roman"/>
          <w:color w:val="auto"/>
          <w:sz w:val="24"/>
          <w:szCs w:val="24"/>
          <w:highlight w:val="none"/>
        </w:rPr>
      </w:pP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eastAsia" w:cs="Times New Roman"/>
          <w:color w:val="auto"/>
          <w:sz w:val="24"/>
          <w:szCs w:val="24"/>
          <w:highlight w:val="none"/>
          <w:lang w:eastAsia="zh-CN"/>
        </w:rPr>
        <w:t>2022年11月12日</w:t>
      </w:r>
      <w:r>
        <w:rPr>
          <w:rFonts w:hint="default" w:ascii="Times New Roman" w:hAnsi="Times New Roman" w:eastAsia="宋体" w:cs="Times New Roman"/>
          <w:color w:val="auto"/>
          <w:sz w:val="24"/>
          <w:szCs w:val="24"/>
        </w:rPr>
        <w:t>，</w:t>
      </w:r>
      <w:r>
        <w:rPr>
          <w:rFonts w:hint="eastAsia" w:cs="Times New Roman"/>
          <w:color w:val="auto"/>
          <w:sz w:val="24"/>
          <w:szCs w:val="24"/>
          <w:lang w:val="en-US" w:eastAsia="zh-CN"/>
        </w:rPr>
        <w:t>阳谷毕升印务有限公司</w:t>
      </w:r>
      <w:r>
        <w:rPr>
          <w:rFonts w:hint="default" w:ascii="Times New Roman" w:hAnsi="Times New Roman" w:eastAsia="宋体" w:cs="Times New Roman"/>
          <w:color w:val="auto"/>
          <w:sz w:val="24"/>
          <w:szCs w:val="24"/>
          <w:highlight w:val="none"/>
        </w:rPr>
        <w:t>组织召开</w:t>
      </w:r>
      <w:r>
        <w:rPr>
          <w:rFonts w:hint="eastAsia" w:cs="Times New Roman"/>
          <w:color w:val="auto"/>
          <w:sz w:val="24"/>
          <w:szCs w:val="24"/>
          <w:highlight w:val="none"/>
          <w:lang w:val="en-US" w:eastAsia="zh-CN"/>
        </w:rPr>
        <w:t>书刊印刷技改项目</w:t>
      </w:r>
      <w:r>
        <w:rPr>
          <w:rFonts w:hint="default" w:ascii="Times New Roman" w:hAnsi="Times New Roman" w:eastAsia="宋体" w:cs="Times New Roman"/>
          <w:color w:val="auto"/>
          <w:sz w:val="24"/>
          <w:szCs w:val="24"/>
          <w:highlight w:val="none"/>
        </w:rPr>
        <w:t>竣</w:t>
      </w:r>
      <w:r>
        <w:rPr>
          <w:rFonts w:hint="default" w:ascii="Times New Roman" w:hAnsi="Times New Roman" w:eastAsia="宋体" w:cs="Times New Roman"/>
          <w:color w:val="auto"/>
          <w:sz w:val="24"/>
          <w:szCs w:val="24"/>
        </w:rPr>
        <w:t>工环境保护验收现场检查及验收及验收会。验收工作组由工程建设单位（</w:t>
      </w:r>
      <w:r>
        <w:rPr>
          <w:rFonts w:hint="eastAsia" w:cs="Times New Roman"/>
          <w:color w:val="auto"/>
          <w:sz w:val="24"/>
          <w:szCs w:val="24"/>
          <w:lang w:val="en-US" w:eastAsia="zh-CN"/>
        </w:rPr>
        <w:t>阳谷毕升印务有限公司</w:t>
      </w:r>
      <w:r>
        <w:rPr>
          <w:rFonts w:hint="default" w:ascii="Times New Roman" w:hAnsi="Times New Roman" w:eastAsia="宋体" w:cs="Times New Roman"/>
          <w:color w:val="auto"/>
          <w:sz w:val="24"/>
          <w:szCs w:val="24"/>
        </w:rPr>
        <w:t>）、</w:t>
      </w:r>
      <w:r>
        <w:rPr>
          <w:rFonts w:hint="eastAsia" w:cs="Times New Roman"/>
          <w:color w:val="auto"/>
          <w:sz w:val="24"/>
          <w:szCs w:val="24"/>
          <w:lang w:eastAsia="zh-CN"/>
        </w:rPr>
        <w:t>检测</w:t>
      </w:r>
      <w:r>
        <w:rPr>
          <w:rFonts w:hint="default" w:ascii="Times New Roman" w:hAnsi="Times New Roman" w:eastAsia="宋体" w:cs="Times New Roman"/>
          <w:color w:val="auto"/>
          <w:sz w:val="24"/>
          <w:szCs w:val="24"/>
        </w:rPr>
        <w:t>单位（</w:t>
      </w:r>
      <w:r>
        <w:rPr>
          <w:rFonts w:hint="default" w:ascii="Times New Roman" w:hAnsi="Times New Roman" w:eastAsia="宋体" w:cs="Times New Roman"/>
          <w:color w:val="auto"/>
          <w:sz w:val="24"/>
          <w:szCs w:val="24"/>
          <w:lang w:eastAsia="zh-CN"/>
        </w:rPr>
        <w:t>山东聊和环保科技有限公司</w:t>
      </w:r>
      <w:r>
        <w:rPr>
          <w:rFonts w:hint="default" w:ascii="Times New Roman" w:hAnsi="Times New Roman" w:eastAsia="宋体" w:cs="Times New Roman"/>
          <w:color w:val="auto"/>
          <w:sz w:val="24"/>
          <w:szCs w:val="24"/>
        </w:rPr>
        <w:t>）</w:t>
      </w:r>
      <w:r>
        <w:rPr>
          <w:rFonts w:hint="eastAsia" w:cs="Times New Roman"/>
          <w:color w:val="auto"/>
          <w:sz w:val="24"/>
          <w:szCs w:val="24"/>
          <w:lang w:eastAsia="zh-CN"/>
        </w:rPr>
        <w:t>、验收报告编制单位（山东绿和环保咨询有限公司）</w:t>
      </w:r>
      <w:r>
        <w:rPr>
          <w:rFonts w:hint="default" w:ascii="Times New Roman" w:hAnsi="Times New Roman" w:eastAsia="宋体" w:cs="Times New Roman"/>
          <w:color w:val="auto"/>
          <w:sz w:val="24"/>
          <w:szCs w:val="24"/>
        </w:rPr>
        <w:t>并特邀</w:t>
      </w:r>
      <w:r>
        <w:rPr>
          <w:rFonts w:hint="default" w:ascii="Times New Roman" w:hAnsi="Times New Roman" w:eastAsia="宋体" w:cs="Times New Roman"/>
          <w:color w:val="auto"/>
          <w:sz w:val="24"/>
          <w:szCs w:val="24"/>
          <w:lang w:val="en-US" w:eastAsia="zh-CN"/>
        </w:rPr>
        <w:t>2</w:t>
      </w:r>
      <w:r>
        <w:rPr>
          <w:rFonts w:hint="default" w:ascii="Times New Roman" w:hAnsi="Times New Roman" w:eastAsia="宋体" w:cs="Times New Roman"/>
          <w:color w:val="auto"/>
          <w:sz w:val="24"/>
          <w:szCs w:val="24"/>
        </w:rPr>
        <w:t>名技术专家（名单附后）组成。</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验收组现场查阅并核实了本项目运营期环保工作落实情况，根据项目竣工环境保护验收监测报告并对照《建设项目环境保护管理条例》、《建设项目竣工环境保护验收暂行办法》，严格依照国家有关法律法规、建设项目竣工环境保护验收技术规范、本项目环境影响评价报告表和审批部门审批决定等要求对本项目进行验收，经认真研究讨论形成环保验收意见，提出意见如下：</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一、工程建设基本情况</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（一）建设地点、规模、主要建设内容</w:t>
      </w:r>
    </w:p>
    <w:p>
      <w:pPr>
        <w:pStyle w:val="3"/>
        <w:numPr>
          <w:ilvl w:val="0"/>
          <w:numId w:val="0"/>
        </w:numPr>
        <w:spacing w:line="360" w:lineRule="auto"/>
        <w:ind w:left="233" w:leftChars="111" w:firstLine="518" w:firstLineChars="216"/>
        <w:rPr>
          <w:rFonts w:hint="default" w:ascii="Times New Roman" w:hAnsi="Times New Roman" w:eastAsia="宋体" w:cs="Times New Roman"/>
          <w:color w:val="auto"/>
          <w:sz w:val="24"/>
          <w:szCs w:val="24"/>
          <w:lang w:val="en-US" w:eastAsia="zh-CN"/>
        </w:rPr>
      </w:pPr>
      <w:r>
        <w:rPr>
          <w:rFonts w:hint="eastAsia" w:cs="Times New Roman"/>
          <w:color w:val="auto"/>
          <w:sz w:val="24"/>
          <w:szCs w:val="24"/>
          <w:lang w:eastAsia="zh-CN"/>
        </w:rPr>
        <w:t>阳谷毕升印务有限公司位于山东省聊城市阳谷县狮子楼办事处华山路11号，总投资1300万元，利用原有精装车间，建设书刊印刷技改项目。新增胶订生产线及其配套设施，同时优化废气治理设施，不增加原有项目产能（年产70万令书刊印刷制品印刷制品）</w:t>
      </w:r>
      <w:r>
        <w:rPr>
          <w:rFonts w:hint="default" w:ascii="Times New Roman" w:hAnsi="Times New Roman" w:eastAsia="宋体" w:cs="Times New Roman"/>
          <w:color w:val="auto"/>
          <w:sz w:val="24"/>
          <w:szCs w:val="24"/>
          <w:lang w:eastAsia="zh-CN"/>
        </w:rPr>
        <w:t>。</w:t>
      </w:r>
    </w:p>
    <w:p>
      <w:pPr>
        <w:tabs>
          <w:tab w:val="left" w:pos="220"/>
        </w:tabs>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（二）环保审批情况</w:t>
      </w:r>
    </w:p>
    <w:p>
      <w:pPr>
        <w:spacing w:line="360" w:lineRule="auto"/>
        <w:ind w:left="233" w:leftChars="111" w:firstLine="518" w:firstLineChars="216"/>
        <w:rPr>
          <w:rFonts w:hint="eastAsia" w:cs="Times New Roman"/>
          <w:color w:val="auto"/>
          <w:kern w:val="2"/>
          <w:sz w:val="24"/>
          <w:szCs w:val="24"/>
          <w:lang w:val="en-US" w:eastAsia="zh-CN" w:bidi="ar-SA"/>
        </w:rPr>
      </w:pPr>
      <w:r>
        <w:rPr>
          <w:rFonts w:hint="eastAsia" w:cs="Times New Roman"/>
          <w:color w:val="auto"/>
          <w:kern w:val="2"/>
          <w:sz w:val="24"/>
          <w:szCs w:val="24"/>
          <w:lang w:val="en-US" w:eastAsia="zh-CN" w:bidi="ar-SA"/>
        </w:rPr>
        <w:t>阳谷毕升印务有限公司原有项目为“书刊印刷项目”、“挥发性有机物治理项目”、“书刊印刷增产扩容项目”和“书刊印刷扩建项目”，企业整体生产规模为年产70万令书刊印刷制品。公司原有2条胶订联动线，已达满负荷运行。</w:t>
      </w:r>
    </w:p>
    <w:p>
      <w:pPr>
        <w:spacing w:line="360" w:lineRule="auto"/>
        <w:ind w:left="233" w:leftChars="111" w:firstLine="518" w:firstLineChars="216"/>
        <w:rPr>
          <w:rFonts w:hint="eastAsia" w:cs="Times New Roman"/>
          <w:color w:val="auto"/>
          <w:kern w:val="2"/>
          <w:sz w:val="24"/>
          <w:szCs w:val="24"/>
          <w:lang w:val="en-US" w:eastAsia="zh-CN" w:bidi="ar-SA"/>
        </w:rPr>
      </w:pPr>
      <w:r>
        <w:rPr>
          <w:rFonts w:hint="eastAsia" w:cs="Times New Roman"/>
          <w:color w:val="auto"/>
          <w:kern w:val="2"/>
          <w:sz w:val="24"/>
          <w:szCs w:val="24"/>
          <w:lang w:val="en-US" w:eastAsia="zh-CN" w:bidi="ar-SA"/>
        </w:rPr>
        <w:t>本项目为阳谷毕升印务有限公司书刊印刷技改项目，主要内容为在精装车间新增1条胶订联动线，同时升级废气治理措施，技改项目完成后不改变企业产能。新增胶订联动线优化了胶订工序；升级有机废气治理措施，淘汰了原有“过滤棉＋低温等离子-UV光解设备+活性炭吸附”装置，更换为“干式过滤箱+活性炭吸附/脱附催化燃烧装置”，提高了废气处理效率。本技改项目建成后不改变企业产能，仍为年产70万令书刊印刷制品。本次验收项目为技改项目。</w:t>
      </w:r>
    </w:p>
    <w:p>
      <w:pPr>
        <w:spacing w:line="360" w:lineRule="auto"/>
        <w:ind w:left="233" w:leftChars="111" w:firstLine="518" w:firstLineChars="216"/>
        <w:rPr>
          <w:rFonts w:hint="eastAsia" w:cs="Times New Roman"/>
          <w:color w:val="auto"/>
          <w:kern w:val="2"/>
          <w:sz w:val="24"/>
          <w:szCs w:val="24"/>
          <w:lang w:val="en-US" w:eastAsia="zh-CN" w:bidi="ar-SA"/>
        </w:rPr>
      </w:pPr>
      <w:r>
        <w:rPr>
          <w:rFonts w:hint="eastAsia" w:cs="Times New Roman"/>
          <w:color w:val="auto"/>
          <w:kern w:val="2"/>
          <w:sz w:val="24"/>
          <w:szCs w:val="24"/>
          <w:lang w:val="en-US" w:eastAsia="zh-CN" w:bidi="ar-SA"/>
        </w:rPr>
        <w:t>由于公司在实际运行中发现原辅料实际用量（主要涉及VOCS排放总量）与原有项目环评中核算量不符，需重新核算原辅材料用量。鉴于此，公司决定对整体技改项目重新开展环评工作。</w:t>
      </w:r>
    </w:p>
    <w:p>
      <w:pPr>
        <w:spacing w:line="360" w:lineRule="auto"/>
        <w:ind w:left="233" w:leftChars="111" w:firstLine="518" w:firstLineChars="216"/>
        <w:rPr>
          <w:rFonts w:hint="default" w:ascii="Times New Roman" w:hAnsi="Times New Roman" w:eastAsia="宋体" w:cs="Times New Roman"/>
          <w:color w:val="auto"/>
          <w:kern w:val="2"/>
          <w:sz w:val="24"/>
          <w:szCs w:val="24"/>
          <w:lang w:val="en-US" w:eastAsia="zh-CN" w:bidi="ar-SA"/>
        </w:rPr>
      </w:pPr>
      <w:r>
        <w:rPr>
          <w:rFonts w:hint="eastAsia" w:cs="Times New Roman"/>
          <w:color w:val="auto"/>
          <w:kern w:val="2"/>
          <w:sz w:val="24"/>
          <w:szCs w:val="24"/>
          <w:lang w:val="en-US" w:eastAsia="zh-CN" w:bidi="ar-SA"/>
        </w:rPr>
        <w:t>2022年1月，阳谷毕升印务有限公司委托山东永润环保咨询有限公司编制了《阳谷毕升印务有限公司书刊印刷技改项目环境影响报告表》，2022年07月25日阳谷县行政审批服务局以阳行审环字〔2022〕26号对其进行了审批。2022年10月公司委托山东绿和环保咨询有限公司进行本项目的环保验收工作，山东绿和环保咨询有限公司组织有关技术人员进行现场踏勘，依据监测技术规范制定了环保验收监测方案，并委托山东聊和环保科技有限公司于2022年10月21日-22日对该企业进行了项目检测，根据验收监测结果和现场检查情况，山东绿和环保咨询有限公司编制了本项目验收监测报告</w:t>
      </w:r>
      <w:r>
        <w:rPr>
          <w:rFonts w:hint="default" w:ascii="Times New Roman" w:hAnsi="Times New Roman" w:eastAsia="宋体" w:cs="Times New Roman"/>
          <w:color w:val="auto"/>
          <w:kern w:val="2"/>
          <w:sz w:val="24"/>
          <w:szCs w:val="24"/>
          <w:lang w:val="en-US" w:eastAsia="zh-CN" w:bidi="ar-SA"/>
        </w:rPr>
        <w:t>。</w:t>
      </w:r>
    </w:p>
    <w:p>
      <w:pPr>
        <w:tabs>
          <w:tab w:val="left" w:pos="220"/>
        </w:tabs>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（三）投资情况</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项目实际总投资</w:t>
      </w:r>
      <w:r>
        <w:rPr>
          <w:rFonts w:hint="eastAsia" w:cs="Times New Roman"/>
          <w:color w:val="auto"/>
          <w:sz w:val="24"/>
          <w:szCs w:val="24"/>
          <w:lang w:val="en-US" w:eastAsia="zh-CN"/>
        </w:rPr>
        <w:t>1300</w:t>
      </w:r>
      <w:r>
        <w:rPr>
          <w:rFonts w:hint="default" w:ascii="Times New Roman" w:hAnsi="Times New Roman" w:eastAsia="宋体" w:cs="Times New Roman"/>
          <w:color w:val="auto"/>
          <w:sz w:val="24"/>
          <w:szCs w:val="24"/>
          <w:lang w:val="en-US" w:eastAsia="zh-CN"/>
        </w:rPr>
        <w:t>万</w:t>
      </w:r>
      <w:r>
        <w:rPr>
          <w:rFonts w:hint="default" w:ascii="Times New Roman" w:hAnsi="Times New Roman" w:eastAsia="宋体" w:cs="Times New Roman"/>
          <w:color w:val="auto"/>
          <w:sz w:val="24"/>
          <w:szCs w:val="24"/>
        </w:rPr>
        <w:t>元，其中环保投资</w:t>
      </w:r>
      <w:r>
        <w:rPr>
          <w:rFonts w:hint="eastAsia" w:cs="Times New Roman"/>
          <w:color w:val="auto"/>
          <w:sz w:val="24"/>
          <w:szCs w:val="24"/>
          <w:lang w:val="en-US" w:eastAsia="zh-CN"/>
        </w:rPr>
        <w:t>50</w:t>
      </w:r>
      <w:r>
        <w:rPr>
          <w:rFonts w:hint="default" w:ascii="Times New Roman" w:hAnsi="Times New Roman" w:eastAsia="宋体" w:cs="Times New Roman"/>
          <w:color w:val="auto"/>
          <w:sz w:val="24"/>
          <w:szCs w:val="24"/>
        </w:rPr>
        <w:t>万元</w:t>
      </w:r>
      <w:r>
        <w:rPr>
          <w:rFonts w:hint="eastAsia" w:cs="Times New Roman"/>
          <w:color w:val="auto"/>
          <w:sz w:val="24"/>
          <w:szCs w:val="24"/>
          <w:lang w:eastAsia="zh-CN"/>
        </w:rPr>
        <w:t>，</w:t>
      </w:r>
      <w:r>
        <w:rPr>
          <w:rFonts w:hint="default" w:ascii="Times New Roman" w:hAnsi="Times New Roman" w:eastAsia="宋体" w:cs="Times New Roman"/>
          <w:color w:val="auto"/>
          <w:sz w:val="24"/>
          <w:szCs w:val="24"/>
        </w:rPr>
        <w:t>占总投资</w:t>
      </w:r>
      <w:r>
        <w:rPr>
          <w:rFonts w:hint="eastAsia" w:cs="Times New Roman"/>
          <w:color w:val="auto"/>
          <w:sz w:val="24"/>
          <w:szCs w:val="24"/>
          <w:lang w:val="en-US" w:eastAsia="zh-CN"/>
        </w:rPr>
        <w:t>3.8</w:t>
      </w:r>
      <w:r>
        <w:rPr>
          <w:rFonts w:hint="default" w:ascii="Times New Roman" w:hAnsi="Times New Roman" w:eastAsia="宋体" w:cs="Times New Roman"/>
          <w:color w:val="auto"/>
          <w:sz w:val="24"/>
          <w:szCs w:val="24"/>
        </w:rPr>
        <w:t>％。</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（四）验收范围</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本次验收的范围为</w:t>
      </w:r>
      <w:r>
        <w:rPr>
          <w:rFonts w:hint="eastAsia" w:cs="Times New Roman"/>
          <w:color w:val="auto"/>
          <w:sz w:val="24"/>
          <w:szCs w:val="24"/>
          <w:lang w:val="en-US" w:eastAsia="zh-CN"/>
        </w:rPr>
        <w:t>年产70万令书刊印刷制品生产设备</w:t>
      </w:r>
      <w:r>
        <w:rPr>
          <w:rFonts w:hint="default" w:ascii="Times New Roman" w:hAnsi="Times New Roman" w:eastAsia="宋体" w:cs="Times New Roman"/>
          <w:color w:val="auto"/>
          <w:sz w:val="24"/>
          <w:szCs w:val="24"/>
        </w:rPr>
        <w:t>及其配套环保设施。</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二、工程变更情况</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通过现场调查，对照环评报告及审批意见，根据《关于印发污染影响类建设项目重大变动清单（试行）的通知》环办环评函〔2020〕688号，项目生产性质、生产规模、生产地点、生产工艺及环保设施均无明显变动，项目不涉及重大变更。</w:t>
      </w:r>
    </w:p>
    <w:p>
      <w:pPr>
        <w:pStyle w:val="16"/>
        <w:numPr>
          <w:ilvl w:val="0"/>
          <w:numId w:val="1"/>
        </w:num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环境保护设施落实情况</w:t>
      </w:r>
    </w:p>
    <w:p>
      <w:pPr>
        <w:widowControl/>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（一）废水污染源及其治理措施</w:t>
      </w:r>
    </w:p>
    <w:p>
      <w:pPr>
        <w:widowControl/>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eastAsia" w:cs="Times New Roman"/>
          <w:color w:val="auto"/>
          <w:kern w:val="2"/>
          <w:sz w:val="24"/>
          <w:szCs w:val="24"/>
          <w:lang w:val="en-US" w:eastAsia="zh-CN" w:bidi="ar-SA"/>
        </w:rPr>
        <w:t>本项目无生产废水产生；生活污水经化粪池收集处理后，经市政污水管网排入阳谷县瀚海水处理有限公司深度处理</w:t>
      </w:r>
      <w:r>
        <w:rPr>
          <w:rFonts w:hint="default" w:ascii="Times New Roman" w:hAnsi="Times New Roman" w:eastAsia="宋体" w:cs="Times New Roman"/>
          <w:color w:val="auto"/>
          <w:kern w:val="2"/>
          <w:sz w:val="24"/>
          <w:szCs w:val="24"/>
          <w:lang w:val="en-US" w:eastAsia="zh-CN" w:bidi="ar-SA"/>
        </w:rPr>
        <w:t>。</w:t>
      </w:r>
    </w:p>
    <w:p>
      <w:pPr>
        <w:widowControl/>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（二）废气污染源及其治理措施</w:t>
      </w:r>
    </w:p>
    <w:p>
      <w:p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本项目产生的废气主要为润版、印刷、擦拭、覆膜以及胶订过程产生的VOCs。</w:t>
      </w:r>
    </w:p>
    <w:p>
      <w:p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有组织：全厂润版、印刷、擦洗、覆膜、胶订过程产生的VOCs经集气罩收集后，共同引入1套“干式过滤箱+活性炭吸附/脱附催化燃烧装置”处理后，通过1根25m高排气筒排放。</w:t>
      </w:r>
    </w:p>
    <w:p>
      <w:p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无组织：主要为未被收集的VOCs，采取加强车间通风及设备密闭等措施。</w:t>
      </w:r>
    </w:p>
    <w:p>
      <w:p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（三）噪声</w:t>
      </w:r>
    </w:p>
    <w:p>
      <w:p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 xml:space="preserve">本项目噪声主要为印刷机、装订机以及风机等设备运行过程产生的噪声。通过选用低噪声设备、基础减振、距离衰减，并将设备布置在封闭车间内等综合控制措施，降低对外环境的影响。 </w:t>
      </w:r>
    </w:p>
    <w:p>
      <w:pPr>
        <w:spacing w:line="360" w:lineRule="auto"/>
        <w:ind w:left="233" w:leftChars="111" w:firstLine="518" w:firstLineChars="216"/>
        <w:jc w:val="left"/>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rPr>
        <w:t>（四）固体废物</w:t>
      </w:r>
    </w:p>
    <w:p>
      <w:pPr>
        <w:pStyle w:val="16"/>
        <w:numPr>
          <w:ilvl w:val="0"/>
          <w:numId w:val="0"/>
        </w:num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bidi="ar-SA"/>
        </w:rPr>
      </w:pPr>
      <w:r>
        <w:rPr>
          <w:rFonts w:hint="eastAsia" w:cs="Times New Roman"/>
          <w:snapToGrid w:val="0"/>
          <w:color w:val="auto"/>
          <w:kern w:val="0"/>
          <w:sz w:val="24"/>
          <w:szCs w:val="24"/>
          <w:lang w:val="en-US" w:eastAsia="zh-CN" w:bidi="ar-SA"/>
        </w:rPr>
        <w:t>本项目产生的固体废物包括一般固废、危险废物和生活垃圾。一般固废包括废包装、下脚料，由物资回收公司收购，废催化剂由厂家回收；危险废物包括废包装桶、废油墨、废制版液、废版材、废热熔胶、废抹布、废机油、废过滤棉、废活性炭，暂存于厂区危废暂存间，委托有资质单位进行处置；生活垃圾由环卫部门进行处理。</w:t>
      </w:r>
      <w:r>
        <w:rPr>
          <w:rFonts w:hint="default" w:ascii="Times New Roman" w:hAnsi="Times New Roman" w:eastAsia="宋体" w:cs="Times New Roman"/>
          <w:snapToGrid w:val="0"/>
          <w:color w:val="auto"/>
          <w:kern w:val="0"/>
          <w:sz w:val="24"/>
          <w:szCs w:val="24"/>
          <w:lang w:val="en-US" w:eastAsia="zh-CN" w:bidi="ar-SA"/>
        </w:rPr>
        <w:br w:type="textWrapping"/>
      </w:r>
      <w:r>
        <w:rPr>
          <w:rFonts w:hint="eastAsia" w:cs="Times New Roman"/>
          <w:snapToGrid w:val="0"/>
          <w:color w:val="auto"/>
          <w:kern w:val="0"/>
          <w:sz w:val="24"/>
          <w:szCs w:val="24"/>
          <w:lang w:val="en-US" w:eastAsia="zh-CN" w:bidi="ar-SA"/>
        </w:rPr>
        <w:t xml:space="preserve">    </w:t>
      </w:r>
      <w:r>
        <w:rPr>
          <w:rFonts w:hint="default" w:ascii="Times New Roman" w:hAnsi="Times New Roman" w:eastAsia="宋体" w:cs="Times New Roman"/>
          <w:snapToGrid w:val="0"/>
          <w:color w:val="auto"/>
          <w:kern w:val="0"/>
          <w:sz w:val="24"/>
          <w:szCs w:val="24"/>
          <w:lang w:val="en-US" w:eastAsia="zh-CN" w:bidi="ar-SA"/>
        </w:rPr>
        <w:t>四、验收监测结果</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（一）环保设施运行检测结果</w:t>
      </w:r>
    </w:p>
    <w:p>
      <w:pPr>
        <w:widowControl/>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山东绿和环保咨询有限公司出具的</w:t>
      </w:r>
      <w:r>
        <w:rPr>
          <w:rFonts w:hint="default" w:ascii="Times New Roman" w:hAnsi="Times New Roman" w:eastAsia="宋体" w:cs="Times New Roman"/>
          <w:b w:val="0"/>
          <w:bCs w:val="0"/>
          <w:color w:val="auto"/>
          <w:sz w:val="24"/>
          <w:szCs w:val="24"/>
        </w:rPr>
        <w:t>《</w:t>
      </w:r>
      <w:r>
        <w:rPr>
          <w:rFonts w:hint="eastAsia" w:cs="Times New Roman"/>
          <w:b w:val="0"/>
          <w:bCs w:val="0"/>
          <w:color w:val="auto"/>
          <w:sz w:val="24"/>
          <w:szCs w:val="24"/>
          <w:lang w:val="en-US" w:eastAsia="zh-CN"/>
        </w:rPr>
        <w:t>阳谷毕升印务有限公司书刊印刷技改项目</w:t>
      </w:r>
      <w:r>
        <w:rPr>
          <w:rFonts w:hint="default" w:ascii="Times New Roman" w:hAnsi="Times New Roman" w:eastAsia="宋体" w:cs="Times New Roman"/>
          <w:color w:val="auto"/>
          <w:sz w:val="24"/>
          <w:szCs w:val="24"/>
        </w:rPr>
        <w:t>竣工环境保护验收监测报告》监测结果表明：</w:t>
      </w:r>
    </w:p>
    <w:p>
      <w:pPr>
        <w:numPr>
          <w:ilvl w:val="0"/>
          <w:numId w:val="2"/>
        </w:num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eastAsia="zh-CN"/>
        </w:rPr>
        <w:t>废</w:t>
      </w:r>
      <w:r>
        <w:rPr>
          <w:rFonts w:hint="eastAsia" w:cs="Times New Roman"/>
          <w:color w:val="auto"/>
          <w:sz w:val="24"/>
          <w:szCs w:val="24"/>
          <w:lang w:eastAsia="zh-CN"/>
        </w:rPr>
        <w:t>水</w:t>
      </w:r>
    </w:p>
    <w:p>
      <w:pPr>
        <w:spacing w:line="360" w:lineRule="auto"/>
        <w:ind w:left="233" w:leftChars="111" w:firstLine="518" w:firstLineChars="216"/>
        <w:rPr>
          <w:rFonts w:hint="default" w:ascii="Times New Roman" w:hAnsi="Times New Roman" w:eastAsia="宋体" w:cs="Times New Roman"/>
          <w:b w:val="0"/>
          <w:bCs w:val="0"/>
          <w:color w:val="auto"/>
          <w:sz w:val="24"/>
          <w:szCs w:val="24"/>
          <w:lang w:val="en-US" w:eastAsia="zh-CN"/>
        </w:rPr>
      </w:pPr>
      <w:r>
        <w:rPr>
          <w:rFonts w:hint="eastAsia" w:cs="Times New Roman"/>
          <w:color w:val="auto"/>
          <w:sz w:val="24"/>
          <w:szCs w:val="24"/>
          <w:lang w:val="en-US" w:eastAsia="zh-CN"/>
        </w:rPr>
        <w:t>验收监测期间，废水pH为7.1-7.3，化学需氧量、五日生化需氧量、氨氮、悬浮物、总磷、总氮最高排放浓度分别为137mg/L、55.2mg/L、17.2mg/L、85mg/L、1.18mg/L、39.5mg/L，均满足《污水排入城镇下水道水质标准》（GB/T31962-2015）B等级及阳谷县瀚海水处理有限公司设计进水要求</w:t>
      </w:r>
      <w:r>
        <w:rPr>
          <w:rFonts w:hint="default" w:cs="Times New Roman"/>
          <w:color w:val="auto"/>
          <w:sz w:val="24"/>
          <w:szCs w:val="24"/>
          <w:lang w:val="en-US" w:eastAsia="zh-CN"/>
        </w:rPr>
        <w:t>。</w:t>
      </w:r>
    </w:p>
    <w:p>
      <w:pPr>
        <w:numPr>
          <w:ilvl w:val="0"/>
          <w:numId w:val="3"/>
        </w:num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废</w:t>
      </w:r>
      <w:r>
        <w:rPr>
          <w:rFonts w:hint="eastAsia" w:cs="Times New Roman"/>
          <w:color w:val="auto"/>
          <w:sz w:val="24"/>
          <w:szCs w:val="24"/>
          <w:lang w:eastAsia="zh-CN"/>
        </w:rPr>
        <w:t>气</w:t>
      </w:r>
    </w:p>
    <w:p>
      <w:pPr>
        <w:spacing w:line="360" w:lineRule="auto"/>
        <w:ind w:left="233" w:leftChars="111" w:firstLine="518" w:firstLineChars="216"/>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验收监测期间，有组织苯最高排放浓度为0.143mg/m</w:t>
      </w:r>
      <w:r>
        <w:rPr>
          <w:rFonts w:hint="default"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，排放速率最高为1.72×10</w:t>
      </w:r>
      <w:r>
        <w:rPr>
          <w:rFonts w:hint="default"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kg/h；甲苯最高排放浓度为0.618mg/m</w:t>
      </w:r>
      <w:r>
        <w:rPr>
          <w:rFonts w:hint="default"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，排放速率最高为7.87×10</w:t>
      </w:r>
      <w:r>
        <w:rPr>
          <w:rFonts w:hint="default"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kg/h；二甲苯最高排放浓度为0.656mg/m</w:t>
      </w:r>
      <w:r>
        <w:rPr>
          <w:rFonts w:hint="default"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，排放速率最高为8.23×10</w:t>
      </w:r>
      <w:r>
        <w:rPr>
          <w:rFonts w:hint="default"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kg/h；VOCs最高排放浓度为7.22mg/m</w:t>
      </w:r>
      <w:r>
        <w:rPr>
          <w:rFonts w:hint="default"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，排放速率最高为0.0919kg/h，均满足《挥发性有机物排放标准 第4部分：印刷业》 （DB37/2801.4-2017）表2相关标准要求。厂界无组织苯小时浓度最高为17.8μg/m</w:t>
      </w:r>
      <w:r>
        <w:rPr>
          <w:rFonts w:hint="default"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，甲苯小时浓度最高为45.3μg/m</w:t>
      </w:r>
      <w:r>
        <w:rPr>
          <w:rFonts w:hint="default"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，二甲苯小时浓度最高为114.7μg/m</w:t>
      </w:r>
      <w:r>
        <w:rPr>
          <w:rFonts w:hint="default"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，VOCs小时浓度最高为506μg/m</w:t>
      </w:r>
      <w:r>
        <w:rPr>
          <w:rFonts w:hint="default"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，均满足《挥发性有机物排放标准 第4部分：印刷业》 表3相关标准要求。</w:t>
      </w:r>
    </w:p>
    <w:p>
      <w:pPr>
        <w:spacing w:line="360" w:lineRule="auto"/>
        <w:ind w:left="233" w:leftChars="111" w:firstLine="518" w:firstLineChars="216"/>
        <w:rPr>
          <w:rFonts w:hint="default"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总量控制：根据本次项目监测结果，以及企业提供运行时间，本项目VOCs折算为满负荷后排放总量为0.5081t/a，满足批复中总量控制指标VOCs：1.3t/a。</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val="en-US" w:eastAsia="zh-CN"/>
        </w:rPr>
        <w:t>3</w:t>
      </w:r>
      <w:r>
        <w:rPr>
          <w:rFonts w:hint="default" w:ascii="Times New Roman" w:hAnsi="Times New Roman" w:eastAsia="宋体" w:cs="Times New Roman"/>
          <w:color w:val="auto"/>
          <w:sz w:val="24"/>
          <w:szCs w:val="24"/>
        </w:rPr>
        <w:t>. 噪声</w:t>
      </w:r>
    </w:p>
    <w:p>
      <w:pPr>
        <w:spacing w:line="360" w:lineRule="auto"/>
        <w:ind w:left="216" w:leftChars="103" w:firstLine="480" w:firstLineChars="200"/>
        <w:rPr>
          <w:rFonts w:hint="default" w:ascii="Times New Roman" w:hAnsi="Times New Roman" w:eastAsia="宋体" w:cs="Times New Roman"/>
          <w:color w:val="000000"/>
          <w:kern w:val="2"/>
          <w:sz w:val="24"/>
          <w:szCs w:val="24"/>
          <w:lang w:val="en-US" w:eastAsia="zh-CN" w:bidi="ar-SA"/>
        </w:rPr>
      </w:pPr>
      <w:r>
        <w:rPr>
          <w:rFonts w:hint="default" w:ascii="Times New Roman" w:hAnsi="Times New Roman" w:eastAsia="宋体" w:cs="Times New Roman"/>
          <w:color w:val="000000"/>
          <w:kern w:val="2"/>
          <w:sz w:val="24"/>
          <w:szCs w:val="24"/>
          <w:lang w:val="en-US" w:eastAsia="zh-CN" w:bidi="ar-SA"/>
        </w:rPr>
        <w:t>验收监测期间，监测点位昼间噪声在54.7-55.0dB（A）之间，夜间噪声在47.5-48.1dB（A）之间，符合《工业企业厂界环境噪声排放标准》（GB12348-2008）中的3类标准限值。</w:t>
      </w:r>
    </w:p>
    <w:p>
      <w:pP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br w:type="page"/>
      </w:r>
    </w:p>
    <w:p>
      <w:pPr>
        <w:numPr>
          <w:ilvl w:val="0"/>
          <w:numId w:val="4"/>
        </w:numPr>
        <w:spacing w:line="360" w:lineRule="auto"/>
        <w:ind w:left="233" w:leftChars="111" w:firstLine="518" w:firstLineChars="216"/>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固体废物</w:t>
      </w:r>
    </w:p>
    <w:p>
      <w:pPr>
        <w:spacing w:line="360" w:lineRule="auto"/>
        <w:ind w:left="233" w:leftChars="111" w:firstLine="518" w:firstLineChars="216"/>
        <w:rPr>
          <w:rFonts w:hint="default" w:ascii="Times New Roman" w:hAnsi="Times New Roman" w:eastAsia="宋体" w:cs="Times New Roman"/>
          <w:color w:val="auto"/>
          <w:sz w:val="24"/>
          <w:szCs w:val="24"/>
        </w:rPr>
      </w:pPr>
      <w:r>
        <w:rPr>
          <w:rFonts w:hint="eastAsia" w:cs="Times New Roman"/>
          <w:color w:val="auto"/>
          <w:sz w:val="24"/>
          <w:szCs w:val="24"/>
          <w:lang w:val="en-US" w:eastAsia="zh-CN"/>
        </w:rPr>
        <w:t>同上文三、（四）</w:t>
      </w:r>
      <w:r>
        <w:rPr>
          <w:rFonts w:hint="default" w:ascii="Times New Roman" w:hAnsi="Times New Roman" w:eastAsia="宋体" w:cs="Times New Roman"/>
          <w:color w:val="auto"/>
          <w:sz w:val="24"/>
          <w:szCs w:val="24"/>
        </w:rPr>
        <w:t>。</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（二）环境管理调查</w:t>
      </w:r>
    </w:p>
    <w:p>
      <w:pPr>
        <w:spacing w:line="360" w:lineRule="auto"/>
        <w:ind w:left="233" w:leftChars="111" w:firstLine="518" w:firstLineChars="216"/>
        <w:rPr>
          <w:rFonts w:hint="default" w:ascii="Times New Roman" w:hAnsi="Times New Roman" w:eastAsia="宋体" w:cs="Times New Roman"/>
          <w:color w:val="auto"/>
          <w:sz w:val="24"/>
          <w:szCs w:val="24"/>
        </w:rPr>
      </w:pPr>
      <w:r>
        <w:rPr>
          <w:rFonts w:hint="eastAsia" w:cs="Times New Roman"/>
          <w:color w:val="auto"/>
          <w:sz w:val="24"/>
          <w:szCs w:val="24"/>
          <w:lang w:eastAsia="zh-CN"/>
        </w:rPr>
        <w:t>阳谷毕升印务有限公司</w:t>
      </w:r>
      <w:r>
        <w:rPr>
          <w:rFonts w:hint="default" w:ascii="Times New Roman" w:hAnsi="Times New Roman" w:eastAsia="宋体" w:cs="Times New Roman"/>
          <w:color w:val="auto"/>
          <w:sz w:val="24"/>
          <w:szCs w:val="24"/>
        </w:rPr>
        <w:t>制定了《</w:t>
      </w:r>
      <w:r>
        <w:rPr>
          <w:rFonts w:hint="eastAsia" w:cs="Times New Roman"/>
          <w:color w:val="auto"/>
          <w:sz w:val="24"/>
          <w:szCs w:val="24"/>
          <w:lang w:eastAsia="zh-CN"/>
        </w:rPr>
        <w:t>阳谷毕升印务有限公司</w:t>
      </w:r>
      <w:r>
        <w:rPr>
          <w:rFonts w:hint="default" w:ascii="Times New Roman" w:hAnsi="Times New Roman" w:eastAsia="宋体" w:cs="Times New Roman"/>
          <w:color w:val="auto"/>
          <w:sz w:val="24"/>
          <w:szCs w:val="24"/>
        </w:rPr>
        <w:t>环保管理制度》</w:t>
      </w:r>
      <w:r>
        <w:rPr>
          <w:rFonts w:hint="default"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rPr>
        <w:t>并设立了相关机构。日常工作由</w:t>
      </w:r>
      <w:r>
        <w:rPr>
          <w:rFonts w:hint="eastAsia" w:ascii="Times New Roman" w:hAnsi="Times New Roman" w:eastAsia="宋体" w:cs="Times New Roman"/>
          <w:color w:val="auto"/>
          <w:sz w:val="24"/>
          <w:szCs w:val="24"/>
          <w:lang w:eastAsia="zh-CN"/>
        </w:rPr>
        <w:t>办公室</w:t>
      </w:r>
      <w:r>
        <w:rPr>
          <w:rFonts w:hint="default" w:ascii="Times New Roman" w:hAnsi="Times New Roman" w:eastAsia="宋体" w:cs="Times New Roman"/>
          <w:color w:val="auto"/>
          <w:sz w:val="24"/>
          <w:szCs w:val="24"/>
        </w:rPr>
        <w:t>管理，其主要职责是：行使公司环保工作的计划、组织、指挥、协调、检查和考核管理职能，日常一切工作须对公司负责。</w:t>
      </w:r>
    </w:p>
    <w:p>
      <w:pPr>
        <w:numPr>
          <w:ilvl w:val="0"/>
          <w:numId w:val="0"/>
        </w:numPr>
        <w:spacing w:line="360" w:lineRule="auto"/>
        <w:ind w:leftChars="327"/>
        <w:jc w:val="left"/>
        <w:rPr>
          <w:rFonts w:hint="eastAsia" w:cs="Times New Roman"/>
          <w:color w:val="auto"/>
          <w:sz w:val="24"/>
          <w:szCs w:val="24"/>
          <w:lang w:eastAsia="zh-CN"/>
        </w:rPr>
      </w:pPr>
      <w:r>
        <w:rPr>
          <w:rFonts w:hint="eastAsia" w:cs="Times New Roman"/>
          <w:color w:val="auto"/>
          <w:sz w:val="24"/>
          <w:szCs w:val="24"/>
          <w:lang w:eastAsia="zh-CN"/>
        </w:rPr>
        <w:t>五、专家意见</w:t>
      </w:r>
    </w:p>
    <w:p>
      <w:pPr>
        <w:spacing w:line="360" w:lineRule="auto"/>
        <w:ind w:left="233" w:leftChars="111" w:firstLine="518" w:firstLineChars="216"/>
        <w:rPr>
          <w:rFonts w:hint="eastAsia" w:cs="Times New Roman"/>
          <w:color w:val="auto"/>
          <w:sz w:val="24"/>
          <w:szCs w:val="24"/>
          <w:lang w:val="en-US" w:eastAsia="zh-CN"/>
        </w:rPr>
      </w:pPr>
      <w:r>
        <w:rPr>
          <w:rFonts w:hint="eastAsia" w:cs="Times New Roman"/>
          <w:color w:val="auto"/>
          <w:sz w:val="24"/>
          <w:szCs w:val="24"/>
          <w:lang w:val="en-US" w:eastAsia="zh-CN"/>
        </w:rPr>
        <w:t>1、定期检查废气收集设施的运行情况，确保废气有效收集和处理；</w:t>
      </w:r>
    </w:p>
    <w:p>
      <w:pPr>
        <w:spacing w:line="360" w:lineRule="auto"/>
        <w:ind w:left="233" w:leftChars="111" w:firstLine="518" w:firstLineChars="216"/>
        <w:rPr>
          <w:rFonts w:hint="eastAsia" w:cs="Times New Roman"/>
          <w:color w:val="auto"/>
          <w:sz w:val="24"/>
          <w:szCs w:val="24"/>
          <w:lang w:val="en-US" w:eastAsia="zh-CN"/>
        </w:rPr>
      </w:pPr>
      <w:r>
        <w:rPr>
          <w:rFonts w:hint="eastAsia" w:cs="Times New Roman"/>
          <w:color w:val="auto"/>
          <w:sz w:val="24"/>
          <w:szCs w:val="24"/>
          <w:lang w:val="en-US" w:eastAsia="zh-CN"/>
        </w:rPr>
        <w:t>2、严格按照《危险废物贮存污染控制标准》（GB18597-2001）及修改单要求，对产生的危险废物进行贮存和管理，并委托有资质的单位及时进行转移处置。</w:t>
      </w:r>
    </w:p>
    <w:p>
      <w:pPr>
        <w:spacing w:line="360" w:lineRule="auto"/>
        <w:ind w:left="233" w:leftChars="111" w:firstLine="518" w:firstLineChars="216"/>
        <w:rPr>
          <w:rFonts w:hint="eastAsia" w:ascii="Times New Roman" w:hAnsi="Times New Roman" w:eastAsia="宋体" w:cs="Times New Roman"/>
          <w:color w:val="auto"/>
          <w:sz w:val="24"/>
          <w:szCs w:val="24"/>
          <w:lang w:val="en-US" w:eastAsia="zh-CN"/>
        </w:rPr>
      </w:pPr>
      <w:r>
        <w:rPr>
          <w:rFonts w:hint="eastAsia" w:cs="Times New Roman"/>
          <w:color w:val="auto"/>
          <w:sz w:val="24"/>
          <w:szCs w:val="24"/>
          <w:lang w:val="en-US" w:eastAsia="zh-CN"/>
        </w:rPr>
        <w:t>3、落实自行监测计划，定期开展废气、噪声</w:t>
      </w:r>
      <w:bookmarkStart w:id="0" w:name="_GoBack"/>
      <w:bookmarkEnd w:id="0"/>
      <w:r>
        <w:rPr>
          <w:rFonts w:hint="eastAsia" w:cs="Times New Roman"/>
          <w:color w:val="auto"/>
          <w:sz w:val="24"/>
          <w:szCs w:val="24"/>
          <w:lang w:val="en-US" w:eastAsia="zh-CN"/>
        </w:rPr>
        <w:t>自行监测。</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eastAsia" w:cs="Times New Roman"/>
          <w:color w:val="auto"/>
          <w:sz w:val="24"/>
          <w:szCs w:val="24"/>
          <w:lang w:eastAsia="zh-CN"/>
        </w:rPr>
        <w:t>六、</w:t>
      </w:r>
      <w:r>
        <w:rPr>
          <w:rFonts w:hint="default" w:ascii="Times New Roman" w:hAnsi="Times New Roman" w:eastAsia="宋体" w:cs="Times New Roman"/>
          <w:color w:val="auto"/>
          <w:sz w:val="24"/>
          <w:szCs w:val="24"/>
        </w:rPr>
        <w:t>验收结论</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验收组一致认为该项目实施过程中按照环评及其批复要求落实了相关环保措施，环保手续齐全，建立了相应的环保管理制度，项目建设过程无重大变更。按环境影响报告表及审批要求建设了环境保护设施。验收监测各项指标满足国家相关排放标准。</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鉴于项目符合国家和地方相关产业标准及准入要求，用地符合当地规划，环保设施与生产配套，验收期间各项监测指标满足国家相关排放标准，该项目通过环保验收。</w:t>
      </w:r>
    </w:p>
    <w:p>
      <w:pPr>
        <w:spacing w:line="360" w:lineRule="auto"/>
        <w:ind w:left="233" w:leftChars="111" w:firstLine="518" w:firstLineChars="216"/>
        <w:jc w:val="left"/>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七、验收人员信息见附件。</w:t>
      </w:r>
    </w:p>
    <w:p>
      <w:pPr>
        <w:spacing w:line="360" w:lineRule="auto"/>
        <w:ind w:left="233" w:leftChars="111" w:firstLine="520" w:firstLineChars="216"/>
        <w:jc w:val="right"/>
        <w:rPr>
          <w:rFonts w:hint="eastAsia" w:cs="Times New Roman"/>
          <w:b/>
          <w:bCs/>
          <w:color w:val="auto"/>
          <w:sz w:val="24"/>
          <w:szCs w:val="24"/>
          <w:lang w:eastAsia="zh-CN"/>
        </w:rPr>
      </w:pPr>
    </w:p>
    <w:p>
      <w:pPr>
        <w:spacing w:line="360" w:lineRule="auto"/>
        <w:ind w:left="233" w:leftChars="111" w:firstLine="520" w:firstLineChars="216"/>
        <w:jc w:val="right"/>
        <w:rPr>
          <w:rFonts w:hint="eastAsia" w:cs="Times New Roman"/>
          <w:b/>
          <w:bCs/>
          <w:color w:val="auto"/>
          <w:sz w:val="24"/>
          <w:szCs w:val="24"/>
          <w:lang w:eastAsia="zh-CN"/>
        </w:rPr>
      </w:pPr>
    </w:p>
    <w:p>
      <w:pPr>
        <w:spacing w:line="360" w:lineRule="auto"/>
        <w:ind w:left="233" w:leftChars="111" w:firstLine="520" w:firstLineChars="216"/>
        <w:jc w:val="right"/>
        <w:rPr>
          <w:rFonts w:hint="eastAsia" w:cs="Times New Roman"/>
          <w:b/>
          <w:bCs/>
          <w:color w:val="auto"/>
          <w:sz w:val="24"/>
          <w:szCs w:val="24"/>
          <w:lang w:eastAsia="zh-CN"/>
        </w:rPr>
      </w:pPr>
      <w:r>
        <w:rPr>
          <w:rFonts w:hint="eastAsia" w:cs="Times New Roman"/>
          <w:b/>
          <w:bCs/>
          <w:color w:val="auto"/>
          <w:sz w:val="24"/>
          <w:szCs w:val="24"/>
          <w:lang w:eastAsia="zh-CN"/>
        </w:rPr>
        <w:t>阳谷毕升印务有限公司验收组</w:t>
      </w:r>
    </w:p>
    <w:p>
      <w:pPr>
        <w:spacing w:line="360" w:lineRule="auto"/>
        <w:ind w:left="233" w:leftChars="111" w:firstLine="520" w:firstLineChars="216"/>
        <w:jc w:val="right"/>
        <w:rPr>
          <w:rFonts w:hint="default"/>
          <w:color w:val="auto"/>
          <w:lang w:eastAsia="zh-CN"/>
        </w:rPr>
      </w:pPr>
      <w:r>
        <w:rPr>
          <w:rFonts w:hint="default" w:ascii="Times New Roman" w:hAnsi="Times New Roman" w:eastAsia="宋体" w:cs="Times New Roman"/>
          <w:b/>
          <w:bCs/>
          <w:color w:val="auto"/>
          <w:sz w:val="24"/>
          <w:szCs w:val="24"/>
        </w:rPr>
        <w:t xml:space="preserve">          </w:t>
      </w:r>
      <w:r>
        <w:rPr>
          <w:rFonts w:hint="default" w:ascii="Times New Roman" w:hAnsi="Times New Roman" w:eastAsia="宋体" w:cs="Times New Roman"/>
          <w:b/>
          <w:bCs/>
          <w:color w:val="auto"/>
          <w:sz w:val="24"/>
          <w:szCs w:val="24"/>
          <w:highlight w:val="none"/>
        </w:rPr>
        <w:t xml:space="preserve">                      </w:t>
      </w:r>
      <w:r>
        <w:rPr>
          <w:rFonts w:hint="eastAsia" w:cs="Times New Roman"/>
          <w:b/>
          <w:bCs/>
          <w:color w:val="auto"/>
          <w:sz w:val="24"/>
          <w:szCs w:val="24"/>
          <w:highlight w:val="none"/>
          <w:lang w:eastAsia="zh-CN"/>
        </w:rPr>
        <w:t>2022年11月12日</w:t>
      </w:r>
    </w:p>
    <w:sectPr>
      <w:footerReference r:id="rId3" w:type="default"/>
      <w:pgSz w:w="11906" w:h="16838"/>
      <w:pgMar w:top="1440" w:right="1080" w:bottom="1440" w:left="108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2"/>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65E2C2C"/>
    <w:multiLevelType w:val="singleLevel"/>
    <w:tmpl w:val="C65E2C2C"/>
    <w:lvl w:ilvl="0" w:tentative="0">
      <w:start w:val="4"/>
      <w:numFmt w:val="decimal"/>
      <w:suff w:val="space"/>
      <w:lvlText w:val="%1."/>
      <w:lvlJc w:val="left"/>
    </w:lvl>
  </w:abstractNum>
  <w:abstractNum w:abstractNumId="1">
    <w:nsid w:val="EC370676"/>
    <w:multiLevelType w:val="singleLevel"/>
    <w:tmpl w:val="EC370676"/>
    <w:lvl w:ilvl="0" w:tentative="0">
      <w:start w:val="1"/>
      <w:numFmt w:val="decimal"/>
      <w:suff w:val="space"/>
      <w:lvlText w:val="%1."/>
      <w:lvlJc w:val="left"/>
    </w:lvl>
  </w:abstractNum>
  <w:abstractNum w:abstractNumId="2">
    <w:nsid w:val="25DA57D9"/>
    <w:multiLevelType w:val="multilevel"/>
    <w:tmpl w:val="25DA57D9"/>
    <w:lvl w:ilvl="0" w:tentative="0">
      <w:start w:val="3"/>
      <w:numFmt w:val="japaneseCounting"/>
      <w:lvlText w:val="%1、"/>
      <w:lvlJc w:val="left"/>
      <w:pPr>
        <w:ind w:left="1280" w:hanging="720"/>
      </w:pPr>
      <w:rPr>
        <w:rFonts w:hint="default" w:cs="Times New Roman"/>
      </w:rPr>
    </w:lvl>
    <w:lvl w:ilvl="1" w:tentative="0">
      <w:start w:val="1"/>
      <w:numFmt w:val="lowerLetter"/>
      <w:lvlText w:val="%2)"/>
      <w:lvlJc w:val="left"/>
      <w:pPr>
        <w:ind w:left="1400" w:hanging="420"/>
      </w:pPr>
      <w:rPr>
        <w:rFonts w:cs="Times New Roman"/>
      </w:rPr>
    </w:lvl>
    <w:lvl w:ilvl="2" w:tentative="0">
      <w:start w:val="1"/>
      <w:numFmt w:val="lowerRoman"/>
      <w:lvlText w:val="%3."/>
      <w:lvlJc w:val="right"/>
      <w:pPr>
        <w:ind w:left="1820" w:hanging="420"/>
      </w:pPr>
      <w:rPr>
        <w:rFonts w:cs="Times New Roman"/>
      </w:rPr>
    </w:lvl>
    <w:lvl w:ilvl="3" w:tentative="0">
      <w:start w:val="1"/>
      <w:numFmt w:val="decimal"/>
      <w:lvlText w:val="%4."/>
      <w:lvlJc w:val="left"/>
      <w:pPr>
        <w:ind w:left="2240" w:hanging="420"/>
      </w:pPr>
      <w:rPr>
        <w:rFonts w:cs="Times New Roman"/>
      </w:rPr>
    </w:lvl>
    <w:lvl w:ilvl="4" w:tentative="0">
      <w:start w:val="1"/>
      <w:numFmt w:val="lowerLetter"/>
      <w:lvlText w:val="%5)"/>
      <w:lvlJc w:val="left"/>
      <w:pPr>
        <w:ind w:left="2660" w:hanging="420"/>
      </w:pPr>
      <w:rPr>
        <w:rFonts w:cs="Times New Roman"/>
      </w:rPr>
    </w:lvl>
    <w:lvl w:ilvl="5" w:tentative="0">
      <w:start w:val="1"/>
      <w:numFmt w:val="lowerRoman"/>
      <w:lvlText w:val="%6."/>
      <w:lvlJc w:val="right"/>
      <w:pPr>
        <w:ind w:left="3080" w:hanging="420"/>
      </w:pPr>
      <w:rPr>
        <w:rFonts w:cs="Times New Roman"/>
      </w:rPr>
    </w:lvl>
    <w:lvl w:ilvl="6" w:tentative="0">
      <w:start w:val="1"/>
      <w:numFmt w:val="decimal"/>
      <w:lvlText w:val="%7."/>
      <w:lvlJc w:val="left"/>
      <w:pPr>
        <w:ind w:left="3500" w:hanging="420"/>
      </w:pPr>
      <w:rPr>
        <w:rFonts w:cs="Times New Roman"/>
      </w:rPr>
    </w:lvl>
    <w:lvl w:ilvl="7" w:tentative="0">
      <w:start w:val="1"/>
      <w:numFmt w:val="lowerLetter"/>
      <w:lvlText w:val="%8)"/>
      <w:lvlJc w:val="left"/>
      <w:pPr>
        <w:ind w:left="3920" w:hanging="420"/>
      </w:pPr>
      <w:rPr>
        <w:rFonts w:cs="Times New Roman"/>
      </w:rPr>
    </w:lvl>
    <w:lvl w:ilvl="8" w:tentative="0">
      <w:start w:val="1"/>
      <w:numFmt w:val="lowerRoman"/>
      <w:lvlText w:val="%9."/>
      <w:lvlJc w:val="right"/>
      <w:pPr>
        <w:ind w:left="4340" w:hanging="420"/>
      </w:pPr>
      <w:rPr>
        <w:rFonts w:cs="Times New Roman"/>
      </w:rPr>
    </w:lvl>
  </w:abstractNum>
  <w:abstractNum w:abstractNumId="3">
    <w:nsid w:val="4401761E"/>
    <w:multiLevelType w:val="singleLevel"/>
    <w:tmpl w:val="4401761E"/>
    <w:lvl w:ilvl="0" w:tentative="0">
      <w:start w:val="2"/>
      <w:numFmt w:val="decimal"/>
      <w:suff w:val="space"/>
      <w:lvlText w:val="%1."/>
      <w:lvlJc w:val="left"/>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QwYTNiZWI1N2FhZGJiMDc2OThhNGUzNmFjY2E4ZjUifQ=="/>
  </w:docVars>
  <w:rsids>
    <w:rsidRoot w:val="00000000"/>
    <w:rsid w:val="00CB2712"/>
    <w:rsid w:val="00D403B8"/>
    <w:rsid w:val="00D968A5"/>
    <w:rsid w:val="01A67464"/>
    <w:rsid w:val="02E1230E"/>
    <w:rsid w:val="0363342C"/>
    <w:rsid w:val="0400088B"/>
    <w:rsid w:val="06DC5C52"/>
    <w:rsid w:val="0705220E"/>
    <w:rsid w:val="07E235D4"/>
    <w:rsid w:val="0A775B6C"/>
    <w:rsid w:val="0A9139A7"/>
    <w:rsid w:val="0BB105F9"/>
    <w:rsid w:val="0BCD78E3"/>
    <w:rsid w:val="0BD4352F"/>
    <w:rsid w:val="0C9D7A18"/>
    <w:rsid w:val="0D002E61"/>
    <w:rsid w:val="0E9F521D"/>
    <w:rsid w:val="0FD64E9F"/>
    <w:rsid w:val="110D6D4E"/>
    <w:rsid w:val="12BE4513"/>
    <w:rsid w:val="13242E95"/>
    <w:rsid w:val="136726D9"/>
    <w:rsid w:val="14A230EF"/>
    <w:rsid w:val="17073D8B"/>
    <w:rsid w:val="188E6607"/>
    <w:rsid w:val="18B2210E"/>
    <w:rsid w:val="18D05E89"/>
    <w:rsid w:val="19BD6A9B"/>
    <w:rsid w:val="1A333BED"/>
    <w:rsid w:val="1AAF6CA7"/>
    <w:rsid w:val="1B753DC5"/>
    <w:rsid w:val="1B7C7285"/>
    <w:rsid w:val="1BAC68BE"/>
    <w:rsid w:val="1CB626A7"/>
    <w:rsid w:val="1DF30D46"/>
    <w:rsid w:val="1E9D1B02"/>
    <w:rsid w:val="2034420A"/>
    <w:rsid w:val="20F95110"/>
    <w:rsid w:val="21E62141"/>
    <w:rsid w:val="23253252"/>
    <w:rsid w:val="24DD3549"/>
    <w:rsid w:val="27420539"/>
    <w:rsid w:val="27776D4F"/>
    <w:rsid w:val="284C33EF"/>
    <w:rsid w:val="285F3444"/>
    <w:rsid w:val="286B6E9D"/>
    <w:rsid w:val="2BD129D7"/>
    <w:rsid w:val="2BFB35B9"/>
    <w:rsid w:val="2C8345D6"/>
    <w:rsid w:val="2DE61E9D"/>
    <w:rsid w:val="2E594393"/>
    <w:rsid w:val="2E840E29"/>
    <w:rsid w:val="31572BC2"/>
    <w:rsid w:val="3195538F"/>
    <w:rsid w:val="337178B1"/>
    <w:rsid w:val="33E80446"/>
    <w:rsid w:val="35A21894"/>
    <w:rsid w:val="35CA7C00"/>
    <w:rsid w:val="36292142"/>
    <w:rsid w:val="371221B6"/>
    <w:rsid w:val="395656FC"/>
    <w:rsid w:val="3A002C99"/>
    <w:rsid w:val="3AD84511"/>
    <w:rsid w:val="3B2962D5"/>
    <w:rsid w:val="3B9345B4"/>
    <w:rsid w:val="3C495586"/>
    <w:rsid w:val="3C614E95"/>
    <w:rsid w:val="3D216C63"/>
    <w:rsid w:val="3D481CA9"/>
    <w:rsid w:val="3E7D0FBB"/>
    <w:rsid w:val="3EF115E1"/>
    <w:rsid w:val="3F75276A"/>
    <w:rsid w:val="407E79EC"/>
    <w:rsid w:val="425A3055"/>
    <w:rsid w:val="42D02360"/>
    <w:rsid w:val="42ED0B8D"/>
    <w:rsid w:val="440B2C50"/>
    <w:rsid w:val="45B12AB5"/>
    <w:rsid w:val="46440069"/>
    <w:rsid w:val="483D5E39"/>
    <w:rsid w:val="4BC32318"/>
    <w:rsid w:val="4CF47C94"/>
    <w:rsid w:val="4D966CB6"/>
    <w:rsid w:val="5075222B"/>
    <w:rsid w:val="51603323"/>
    <w:rsid w:val="51800668"/>
    <w:rsid w:val="52082039"/>
    <w:rsid w:val="520B1012"/>
    <w:rsid w:val="53D87E59"/>
    <w:rsid w:val="558B3EEA"/>
    <w:rsid w:val="56DD1623"/>
    <w:rsid w:val="584674DB"/>
    <w:rsid w:val="59632F9B"/>
    <w:rsid w:val="59772D6C"/>
    <w:rsid w:val="5B994AD0"/>
    <w:rsid w:val="5BB97A85"/>
    <w:rsid w:val="5C705EEE"/>
    <w:rsid w:val="5D580A9C"/>
    <w:rsid w:val="5DD9443E"/>
    <w:rsid w:val="5F0C4CFF"/>
    <w:rsid w:val="602A22C2"/>
    <w:rsid w:val="64C4763E"/>
    <w:rsid w:val="65826A80"/>
    <w:rsid w:val="66FB5067"/>
    <w:rsid w:val="6A4209DB"/>
    <w:rsid w:val="6ABA50EB"/>
    <w:rsid w:val="6CE7626B"/>
    <w:rsid w:val="6DEB0CC4"/>
    <w:rsid w:val="6E620EC2"/>
    <w:rsid w:val="701F78C4"/>
    <w:rsid w:val="70346B17"/>
    <w:rsid w:val="70FA12EC"/>
    <w:rsid w:val="710C46C4"/>
    <w:rsid w:val="72964393"/>
    <w:rsid w:val="72C90F73"/>
    <w:rsid w:val="7593546D"/>
    <w:rsid w:val="75C3338A"/>
    <w:rsid w:val="76AB541C"/>
    <w:rsid w:val="77930543"/>
    <w:rsid w:val="7A9B7079"/>
    <w:rsid w:val="7FC466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99"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5">
    <w:name w:val="Default Paragraph Font"/>
    <w:semiHidden/>
    <w:qFormat/>
    <w:uiPriority w:val="0"/>
  </w:style>
  <w:style w:type="table" w:default="1" w:styleId="13">
    <w:name w:val="Normal Table"/>
    <w:semiHidden/>
    <w:qFormat/>
    <w:uiPriority w:val="0"/>
    <w:tblPr>
      <w:tblCellMar>
        <w:top w:w="0" w:type="dxa"/>
        <w:left w:w="108" w:type="dxa"/>
        <w:bottom w:w="0" w:type="dxa"/>
        <w:right w:w="108" w:type="dxa"/>
      </w:tblCellMar>
    </w:tblPr>
  </w:style>
  <w:style w:type="paragraph" w:customStyle="1" w:styleId="2">
    <w:name w:val="li_正文"/>
    <w:basedOn w:val="1"/>
    <w:qFormat/>
    <w:uiPriority w:val="0"/>
    <w:pPr>
      <w:ind w:firstLine="200" w:firstLineChars="200"/>
      <w:jc w:val="left"/>
    </w:pPr>
    <w:rPr>
      <w:rFonts w:ascii="Calibri" w:hAnsi="Calibri" w:eastAsia="宋体" w:cs="Times New Roman"/>
      <w:sz w:val="28"/>
      <w:szCs w:val="28"/>
    </w:rPr>
  </w:style>
  <w:style w:type="paragraph" w:styleId="3">
    <w:name w:val="annotation text"/>
    <w:basedOn w:val="1"/>
    <w:unhideWhenUsed/>
    <w:qFormat/>
    <w:uiPriority w:val="99"/>
    <w:pPr>
      <w:jc w:val="left"/>
    </w:pPr>
  </w:style>
  <w:style w:type="paragraph" w:styleId="4">
    <w:name w:val="Body Text"/>
    <w:basedOn w:val="1"/>
    <w:next w:val="5"/>
    <w:qFormat/>
    <w:uiPriority w:val="0"/>
    <w:pPr>
      <w:spacing w:after="120"/>
    </w:pPr>
  </w:style>
  <w:style w:type="paragraph" w:styleId="5">
    <w:name w:val="Date"/>
    <w:basedOn w:val="1"/>
    <w:next w:val="1"/>
    <w:qFormat/>
    <w:uiPriority w:val="0"/>
    <w:pPr>
      <w:ind w:left="100" w:leftChars="2500"/>
    </w:pPr>
    <w:rPr>
      <w:rFonts w:ascii="宋体" w:hAnsi="宋体"/>
      <w:szCs w:val="24"/>
    </w:rPr>
  </w:style>
  <w:style w:type="paragraph" w:styleId="6">
    <w:name w:val="Body Text Indent"/>
    <w:basedOn w:val="1"/>
    <w:next w:val="7"/>
    <w:qFormat/>
    <w:uiPriority w:val="0"/>
    <w:pPr>
      <w:ind w:right="-100" w:firstLine="560" w:firstLineChars="200"/>
    </w:pPr>
    <w:rPr>
      <w:sz w:val="28"/>
    </w:rPr>
  </w:style>
  <w:style w:type="paragraph" w:styleId="7">
    <w:name w:val="header"/>
    <w:basedOn w:val="1"/>
    <w:next w:val="8"/>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8">
    <w:name w:val="样式5"/>
    <w:basedOn w:val="9"/>
    <w:qFormat/>
    <w:uiPriority w:val="0"/>
    <w:pPr>
      <w:snapToGrid w:val="0"/>
      <w:spacing w:line="360" w:lineRule="auto"/>
      <w:ind w:firstLine="510"/>
    </w:pPr>
    <w:rPr>
      <w:sz w:val="24"/>
    </w:rPr>
  </w:style>
  <w:style w:type="paragraph" w:customStyle="1" w:styleId="9">
    <w:name w:val="正文1"/>
    <w:basedOn w:val="1"/>
    <w:next w:val="1"/>
    <w:qFormat/>
    <w:uiPriority w:val="0"/>
    <w:pPr>
      <w:jc w:val="center"/>
    </w:pPr>
    <w:rPr>
      <w:rFonts w:ascii="宋体" w:hAnsi="宋体"/>
      <w:kern w:val="36"/>
    </w:rPr>
  </w:style>
  <w:style w:type="paragraph" w:styleId="10">
    <w:name w:val="Block Text"/>
    <w:basedOn w:val="1"/>
    <w:unhideWhenUsed/>
    <w:qFormat/>
    <w:uiPriority w:val="99"/>
    <w:pPr>
      <w:adjustRightInd/>
      <w:ind w:left="525" w:leftChars="250" w:right="685" w:rightChars="326" w:firstLine="560"/>
      <w:jc w:val="both"/>
      <w:textAlignment w:val="auto"/>
    </w:pPr>
    <w:rPr>
      <w:sz w:val="28"/>
      <w:szCs w:val="24"/>
    </w:rPr>
  </w:style>
  <w:style w:type="paragraph" w:styleId="11">
    <w:name w:val="Plain Text"/>
    <w:basedOn w:val="1"/>
    <w:next w:val="6"/>
    <w:unhideWhenUsed/>
    <w:qFormat/>
    <w:uiPriority w:val="99"/>
    <w:rPr>
      <w:rFonts w:ascii="宋体" w:hAnsi="Courier New" w:cs="Courier New"/>
      <w:szCs w:val="21"/>
    </w:rPr>
  </w:style>
  <w:style w:type="paragraph" w:styleId="12">
    <w:name w:val="footer"/>
    <w:basedOn w:val="1"/>
    <w:qFormat/>
    <w:uiPriority w:val="0"/>
    <w:pPr>
      <w:tabs>
        <w:tab w:val="center" w:pos="4153"/>
        <w:tab w:val="right" w:pos="8306"/>
      </w:tabs>
      <w:snapToGrid w:val="0"/>
      <w:jc w:val="left"/>
    </w:pPr>
    <w:rPr>
      <w:sz w:val="18"/>
    </w:rPr>
  </w:style>
  <w:style w:type="table" w:styleId="14">
    <w:name w:val="Table Grid"/>
    <w:basedOn w:val="13"/>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6">
    <w:name w:val="List Paragraph"/>
    <w:basedOn w:val="1"/>
    <w:qFormat/>
    <w:uiPriority w:val="99"/>
    <w:pPr>
      <w:ind w:firstLine="420" w:firstLineChars="200"/>
    </w:pPr>
  </w:style>
  <w:style w:type="paragraph" w:customStyle="1" w:styleId="17">
    <w:name w:val="Default"/>
    <w:unhideWhenUsed/>
    <w:qFormat/>
    <w:uiPriority w:val="99"/>
    <w:pPr>
      <w:widowControl w:val="0"/>
      <w:autoSpaceDE w:val="0"/>
      <w:autoSpaceDN w:val="0"/>
      <w:adjustRightInd w:val="0"/>
    </w:pPr>
    <w:rPr>
      <w:rFonts w:hint="eastAsia" w:ascii="宋体" w:hAnsi="宋体" w:eastAsia="宋体" w:cs="Times New Roman"/>
      <w:color w:val="000000"/>
      <w:sz w:val="24"/>
      <w:szCs w:val="2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2763</Words>
  <Characters>3085</Characters>
  <Lines>0</Lines>
  <Paragraphs>0</Paragraphs>
  <TotalTime>185</TotalTime>
  <ScaleCrop>false</ScaleCrop>
  <LinksUpToDate>false</LinksUpToDate>
  <CharactersWithSpaces>3127</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不二橙。</cp:lastModifiedBy>
  <dcterms:modified xsi:type="dcterms:W3CDTF">2022-11-22T00:43:53Z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5F3E9D957CC14E9F938D06946CE12F19</vt:lpwstr>
  </property>
  <property fmtid="{D5CDD505-2E9C-101B-9397-08002B2CF9AE}" pid="4" name="commondata">
    <vt:lpwstr>eyJoZGlkIjoiZWZiMmQyNTFkOTFmY2M3Y2Q3YzEzYmZlMzM2ZWU0M2EifQ==</vt:lpwstr>
  </property>
</Properties>
</file>